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ACJC/341/2015 vom 10. Juni 2014</w:t>
      </w:r>
    </w:p>
    <w:p>
      <w:r>
        <w:t>GE Cour de justice, 2014-06-10, FR</w:t>
      </w:r>
    </w:p>
    <w:p>
      <w:r>
        <w:rPr>
          <w:b/>
        </w:rPr>
        <w:t xml:space="preserve">Quelle: </w:t>
      </w:r>
      <w:r>
        <w:t>https://mcp.opencaselaw.ch/entscheid/ge_gerichte_ACJC_341_2015</w:t>
      </w:r>
    </w:p>
    <w:p>
      <w:r>
        <w:t>FR: GE_GERICHTE ACJC/341/2015 du 10 juin 2014</w:t>
      </w:r>
    </w:p>
    <w:p>
      <w:r>
        <w:t>IT: GE_GERICHTE ACJC/341/2015 del 10 giugno 2014</w:t>
      </w:r>
    </w:p>
    <w:p>
      <w:pPr>
        <w:pStyle w:val="Heading2"/>
      </w:pPr>
      <w:r>
        <w:t>Erwägungen</w:t>
      </w:r>
    </w:p>
    <w:p>
      <w:r>
        <w:rPr>
          <w:b/>
        </w:rPr>
        <w:t>E. 1</w:t>
      </w:r>
    </w:p>
    <w:p>
      <w:r>
        <w:t>Le jugement attaqué constitue une décision finale et la valeur litigieuse, au vu des contributions d'entretien querellées, est supérieure à 10'000 fr. (art. 308 al. 1 let. a et al. 2 CPC, art. 92 al. 2 CPC). La voie de l'appel est dès lors ouverte. Déposé dans le délai utile et selon la forme prescrite par la loi (art. 130 al. 1, 131 et 311 al. 1 CPC), l'appel principal est recevable. L'appel joint est également recevable pour avoir été interjeté dans le délai de trente jours suivant la notification de l'appel principal (art. 312 al. 2, 313 al. 1 et 142 al. 1 CPC), selon la forme prescrite par la loi. Par souci de simplification, A______ sera désigné ci-après comme l'appelant et B______ comme l'intimée.</w:t>
      </w:r>
    </w:p>
    <w:p>
      <w:r>
        <w:rPr>
          <w:b/>
        </w:rPr>
        <w:t>E. 2</w:t>
      </w:r>
    </w:p>
    <w:p>
      <w:r>
        <w:t>La Cour revoit la cause avec un plein pouvoir d'examen (art. 310 CPC). Lorsqu'il s'agit du sort d'enfants mineurs et de la contribution d'entretien due à ceux-ci, les maximes inquisitoire illimitée et d'office régissent la procédure (art. 296, 55 al. 2 et 58 al. 2 CPC). La Cour n'est ainsi pas liée par les conclusions des parties (art. 296 al. 3 CPC). Toutefois, la maxime inquisitoire ne dispense pas les parties de collaborer active- ment à la procédure et d'étayer leurs thèses (ATF 131 III 91 consid. 5.2.1; arrêt du Tribunal fédéral 5A_69/2011 du 27 février 2012 consid. 2.3).</w:t>
      </w:r>
    </w:p>
    <w:p>
      <w:r>
        <w:rPr>
          <w:b/>
        </w:rPr>
        <w:t>E. 3</w:t>
      </w:r>
    </w:p>
    <w:p>
      <w:r>
        <w:t>Les parties ont allégués des faits nouveaux et ont produit de nouvelles pièces à l'appui de leurs écritures d'appel.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(ACJC/1533/2014; ACJC/1498/2014; dans le même sens : TREZZINI, in Commentario al Codice di diritto processuale civile svizzero (CPC), 2011, p. 1394; TAPPY, Les voies de droit du nouveau Code de procédure civile, in JdT 2010 III p. 115 ss et p. 139).</w:t>
      </w:r>
    </w:p>
    <w:p>
      <w:r>
        <w:t>- 8/17 -</w:t>
      </w:r>
    </w:p>
    <w:p>
      <w:r>
        <w:t>C/21019/2012 En l'espèce, l'ensemble des pièces nouvelles produites par les parties sont rece- vables, car en relation avec leur situation financière, laquelle est susceptible d'in- fluencer la contribution d'entretien due à l'enfant.</w:t>
      </w:r>
    </w:p>
    <w:p>
      <w:r>
        <w:rPr>
          <w:b/>
        </w:rPr>
        <w:t>E. 4</w:t>
      </w:r>
    </w:p>
    <w:p>
      <w:r>
        <w:t>Dans son appel joint, l'intimée a pris des conclusions nouvelles. A teneur de l'art. 317 al. 2 CPC, la demande ne peut être modifiée que si les con- ditions fixées à l'art. 227 al. 1 CPC sont remplies (let. a) et si la modification re- pose sur des faits ou des moyens de preuve nouveaux (let. b). Lorsque la cause est soumise à la maxime d'office, le dépôt de conclusions nou- velles en appel est admissible jusqu'aux délibérations, les restrictions posées par l'art. 317 al. 2 CPC n'entrant pas en considération dans ce cadre (JEANDIN, in CPC, Code de procédure civile commenté, BOHNET/HALDY/JEANDIN/SCHWEIZER/ TAPPY [éd.], 2011, n. 18 ad art. 296 CPC). En l'occurrence, les conclusions prises pour la première fois en appel par l'intimée au sujet de la contribution d'entretien de son fils et de ses charges supplé- mentaires, seront prises en considération, dès lors qu'elles concernent des aspects qui sont soumis à la maxime d'office, et qu'elles ont été formulées dans le mé- moire d'appel joint, soit antérieurement à la mise en délibération de la cause.</w:t>
      </w:r>
    </w:p>
    <w:p>
      <w:r>
        <w:rPr>
          <w:b/>
        </w:rPr>
        <w:t>E. 5</w:t>
      </w:r>
    </w:p>
    <w:p>
      <w:r>
        <w:t>L'appelant et l'intimée contestent le montant de la contribution à l'entretien de C______ fixé par le premier juge. Ils remettent en cause les revenus et les charges arrêtées par le Tribunal pour chacune des parties.</w:t>
      </w:r>
    </w:p>
    <w:p>
      <w:r>
        <w:rPr>
          <w:b/>
        </w:rPr>
        <w:t>E. 5.1</w:t>
      </w:r>
    </w:p>
    <w:p>
      <w:r>
        <w:t>Selon l'art. 285 al. 1 CC, auquel renvoie l'art. 133 al. 1 CC, la contribution d'entretien doit correspondre aux besoins de l'enfant ainsi qu'à la situation et aux ressources des père et mère; il est tenu compte de la fortune et des revenus de l'en- fant, ainsi que de la participation de celui des parents qui n'a pas la garde de l'en- fant à la prise en charge de ce dernier. Ces différents critères doivent être pris en considération; ils exercent une influence réciproque les uns sur les autres. La loi ne prescrit toutefois pas de méthode de calcul particulière pour arrêter la contri- 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références citées).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w:t>
      </w:r>
    </w:p>
    <w:p>
      <w:r>
        <w:t>- 9/17 -</w:t>
      </w:r>
    </w:p>
    <w:p>
      <w:r>
        <w:t>C/21019/2012 soins de l'enfant mineur (arrêt du Tribunal fédéral 5A_513/2012 du 17 octobre 2012 consid. 4). Il s'ensuit que lorsqu'il ressort des faits que l'un des parents, ou les deux, ne fournissent pas tous les efforts que l'on peut attendre d'eux pour assu- mer leur obligation d'entretien, le juge peut s'écarter du revenu effectif des parties pour fixer la contribution d'entretien, et imputer un revenu hypothétique supérieur, tant au débiteur de l'entretien qu'au parent gardien. Il s'agit ainsi d'inciter la per- sonne à réaliser le revenu qu'elle est en mesure de se procurer et dont on peut rai- sonnablement exiger d'elle qu'elle l'obtienne afin de remplir ses obligations à l'égard du mineur (ATF 137 III 118 consid. 3.1; 128 III 4 consid. 4a; arrêts du Tribunal fédéral 5A_120/2014 du 2 septembre 2014 consid. 6.1.1 et 5A_587/2013 du 26 novembre 2013 consid. 6.1.1). Le débirentier est en principe libre de transférer son domicile à l'étranger. La perte de revenu qui en résulte ne peut cependant être invoquée au détriment du créan- cier d'entretien lorsque le débiteur peut continuer de réaliser en Suisse le revenu dont il bénéficiait jusqu'ici et qu'il est possible de l'exiger de lui (arrêts du Tribunal fédéral 5A_98/2007 du 8 juin 2007 consid. 3.3 et 5C.154/1996 du 2 septembre 1997 consid. 3b). Le revenu déterminant d'un parent ne comprend pas le revenu d'un tiers, tel un concubin, car ce dernier n'a pas d'obligation d'entretien envers l'autre époux ou enfant. En revanche on tient compte de sa participation aux charges du ménage, comme le loyer (arrêt du Tribunal fédéral 5A_464/2012 du 30 novembre 2012 consid. 4.4.2 et les références citées; BASTONS BULLETTI, L'entretien après di- vorce : Méthodes de calcul, montant, durée et limites, in SJ 2007 II 77, p. 81 et 88). Les allocations familiales, qui ne sont pas prises en compte dans le revenu du pa- rent qui les perçoit, doivent être soustraites du coût d'entretien de l'enfant (arrêt du Tribunal fédéral 5A_386/2012 du 23 juillet 2012 consid. 4.3.1). Comme indiqué ci-dessus, la loi n'impose pas de méthode de calcul de la contri- bution d'entretien (ATF 128 III 411 consid. 3.2.2). Le montant de celle-ci ne doit toutefois pas être calculé de façon linéaire en fonction de la capacité contributive des parents, sans tenir compte de la situation concrète de l'enfant (ATF 120 II 285 consid. 3b/bb; arrêt du Tribunal fédéral 5A_96/2012 du 21 juin 2012 consid. 3.1). Une des méthodes de calcul possibles est celle dite du "minimum vital" : les be- soins de l'enfant mineur et la capacité contributive du débirentier sont déterminés en ajoutant à leurs montants de base admis par le droit des poursuites leurs char- ges incompressibles respectives (loyer, assurance maladie et si les moyens des pa- rents le permettent et les besoins de l'enfant le justifient, les dépenses supplé- mentaires, par exemple, pour des formations accessoires, des sports ou des loisirs) (art. 93 LP; arrêt du Tribunal fédéral 5C.142/2006 du 2 février 2007 consid. 4.3; PERRIN, Commentaire romand, Code civil I, 2010, n. 23 ss ad art. 285 CC;</w:t>
      </w:r>
    </w:p>
    <w:p>
      <w:r>
        <w:t>- 10/17 -</w:t>
      </w:r>
    </w:p>
    <w:p>
      <w:r>
        <w:t>C/21019/2012 BASTONS BULLETTI, op. cit., p. 84 ss et 101 ss). Si la capacité contributive de l'un des parents est sensiblement plus importante que celle de l'autre, il n'est pas criti- quable de laisser à celui qui est économiquement mieux placé la charge d'entre- tenir les enfants (arrêts du Tribunal fédéral 5A_49/2008 du 19 août 2008 consid. 4.5 et 5C.125/1994 du 12 septembre 1994 consid. 5c). En tous les cas, le minimum vital strict du débirentier doit être préservé (ATF 137 III 59 consid. 4.2.1). Les besoins d'entretien statistiques moyens retenus dans les "Recommandations pour la fixation des contributions d'entretien des enfants" éditées par l'Office de la jeunesse du canton de Zurich (ci-après : tabelles zurichoises), peuvent servir de point de départ pour la détermination des besoins d'un enfant dans un cas concret. Il y a toutefois lieu de les affiner en tenant compte des besoins concrets particu- liers de l'enfant, ainsi que du niveau de vie et de la capacité contributive des pa- rents (arrêts du Tribunal fédéral 5A_259/2012 du 14 novembre 2012 consid. 5.1 et 5A_186/2012 du 28 juin 2012 consid. 6.2.1.). Ces normes se fondent sur un revenu moyen de 7'000 fr. à 7'500 fr. (arrêt du Tribunal fédéral 5C.49/2006 du 24 août 2006 consid. 2.2). Selon ces tabelles zurichoises, les besoins d'un enfant de l'âge de C______, soit entre 7 et 12 ans, s'élèvent à 1'935 fr., puis entre 13 et 18 ans à 2'100 fr. Est notamment prise en compte dans les charges de l'enfant une participation aux frais du logement du parent gardien (arrêt du Tribunal fédéral 5A_533/2010 du 24 novembre 2010 consid. 2.1). Il convient de traiter sur un pied d'égalité tous les enfants crédirentiers d'un père ou d'une mère, y compris ceux issus de différentes unions, tant sur le plan de leurs besoins objectifs que sur le plan financier. Ainsi, des contributions d'entretien iné- gales ne sont pas exclues d'emblée, mais nécessitent une justification particulière. L'étendue de la contribution d'entretien dépend de la capacité contributive du pa- rent débirentier et du parent gardien (ATF 137 III 59 consid. 4.2.1, SJ 2011 I 221).</w:t>
      </w:r>
    </w:p>
    <w:p>
      <w:r>
        <w:rPr>
          <w:b/>
        </w:rPr>
        <w:t>E. 5.2.1</w:t>
      </w:r>
    </w:p>
    <w:p>
      <w:r>
        <w:t>L'appelant a été engagé au E______ par un contrat de durée indéterminée et même si les statuts de cet employeur délimitent ses contrats de travail à 10 ans, celui de l'appelant devait normalement prendre fin en 2018. L'appelant ne démon- tre pas que son contrat aurait pu être résilié avant cette date butoir. Il a donc quitté son emploi près de 5 ans avant son terme alors même qu'il n'avait pas retrouvé un autre poste et qu'il savait devoir assumer une obligation d'entretien envers C______ et l'intimée d'un montant mensuel de 4'500 fr., conformément à l'ordonnance OTPI/142/2013 du 30 janvier 2013. Par ailleurs, l'appelant n'allègue pas avoir entrepris des démarches afin de trouver un travail aussi bien rémunéré,</w:t>
      </w:r>
    </w:p>
    <w:p>
      <w:r>
        <w:t>- 11/17 -</w:t>
      </w:r>
    </w:p>
    <w:p>
      <w:r>
        <w:t>C/21019/2012 alors qu'il disposait de nombreux mois pour cela, mais il argue que son poste à Londres était une opportunité. L'appelant n'a donc pas concrètement entrepris tout ce qui pouvait raisonna- blement être attendu de lui pour retrouver une activité professionnelle à revenu égal, choisissant volontairement de péjorer sa situation financière. C'est donc à juste titre que le Tribunal lui a imputé un revenu mensuel hypothétique net de 10'625 fr., correspondant à son dernier salaire obtenu auprès de E______. La mutation, temporaire ou non, en Inde de l'appelant ne change rien à l'imputa- tion du revenu hypothétique précité, celle-ci étant subséquente à l'abandon de son emploi genevois. En outre, une diminution de sa capacité financière du fait de cette mutation n'est étayée par aucune pièce.</w:t>
      </w:r>
    </w:p>
    <w:p>
      <w:r>
        <w:rPr>
          <w:b/>
        </w:rPr>
        <w:t>E. 5.2.2</w:t>
      </w:r>
    </w:p>
    <w:p>
      <w:r>
        <w:t>Dès lors qu'il a imputé à l'appelant un revenu hypothétique correspondant à un emploi à Genève, c'est à raison que le Tribunal a retenu les charges dont il s'acquittait également à Genève et non celles afférentes à Londres. Il sera toutefois tenu compte des frais de voyage pour l'exercice de son droit de visite sur C______, afin de ne pas entraver ce droit, essentiel à l'intérêt et au développement de l'enfant. Il est établi que l'appelant vit en ménage commun avec sa nouvelle compagne et leur fils, âgé de 2 ans. Cette dernière a cessé de travailler au sein du E______ afin de suivre l'appelant en Angleterre, puis en Inde et vu l'âge de l'enfant, l'on ne saurait exiger d'elle qu'elle reprenne, en l'état, une activité lucrative. Dès lors, con- trairement à ce qu'a retenu le premier juge, il y a lieu de tenir compte de l'en- semble des charges de la famille. Les charges de l'appelant s'élèvent ainsi à 4'931 fr. 65 et comprennent son loyer (1'910 fr.), sa prime d'assurance-maladie (264 fr. 65), celle de sa nouvelle com- pagne (estimée à 500 fr.), son assurance ménage (6 fr.), ses frais de déplacement (96 fr.), ses frais de voyage pour l'exercice de son droit de visite (455 fr.) et l'en- tretien de base du couple selon les normes OP (1'700 fr.). Il dispose donc d'un solde mensuel de 5'693 fr. 35.</w:t>
      </w:r>
    </w:p>
    <w:p>
      <w:r>
        <w:rPr>
          <w:b/>
        </w:rPr>
        <w:t>E. 5.3</w:t>
      </w:r>
    </w:p>
    <w:p>
      <w:r>
        <w:t>L'intimée perçoit un salaire mensuel net de 5'370 fr. Elle allègue ne plus percevoir la somme mensuelle de 700 fr. pour la location d'une chambre de la villa. Cependant, au regard du loyer de cette villa, soit 3'400 fr. par mois, charges comprises, alors qu'elle vit seule avec un enfant et ne perçoit qu'un salaire de 5'370 fr., il est raisonnable d'exiger d'elle qu'elle continue à louer une chambre afin de percevoir ce revenu locatif. Ses ressources s'élèvent donc à 6'070 fr. par mois.</w:t>
      </w:r>
    </w:p>
    <w:p>
      <w:r>
        <w:t>- 12/17 -</w:t>
      </w:r>
    </w:p>
    <w:p>
      <w:r>
        <w:t>C/21019/2012 Ses charges mensuelles incompressibles, arrêtées par le premier juge et non con- testées en appel par les parties, se montent à 5'421 fr. 75. Dès lors, son solde disponible mensuel est de 648 fr. 25.</w:t>
      </w:r>
    </w:p>
    <w:p>
      <w:r>
        <w:rPr>
          <w:b/>
        </w:rPr>
        <w:t>E. 5.4</w:t>
      </w:r>
    </w:p>
    <w:p>
      <w:r>
        <w:t>Le Tribunal a retenu que les besoins de C______ se montaient à 1'068 fr. 90 par mois, comprenant la somme de 47 fr. 55 pour les frais de garde parascolaire. Or, depuis le mois d’octobre 2014, l'intimée ayant débuté une activité lucrative à plein temps, C______ a intégré tous les jours une structure d'accueil. Ces frais s'élèvent à 760 fr. par mois, dont 415 fr. sont subventionnés par la commune de Nyon, 345 fr. restent donc à la charge de l'intimée. S'agissant des activités sportives de C______, bien que l'intimée ne démontre pas que son fils pratique de telles activités de manière régulière tout au long de l'année, au regard de la situation financière du débirentier, il se justifie de compta- biliser des frais de loisirs/sports dans les charges de C______. Un montant mensuel estimé à 80 fr. sera retenu à ce titre. Les parties ne contestent pas le montant des autres charges fixées par le Tribunal, celles-ci sont donc reprises par la Cour et comprennent son loyer (540 fr. soit une participation de 20%), sa prime d’assurance-maladie (81 fr. 35) et son montant de base (400 fr.). Les besoins de C______ se montent donc à 1'446 fr. 35, auxquels il faut déduire le montant de 300 fr. d'allocations familiales, soit 1'146 fr. 35.</w:t>
      </w:r>
    </w:p>
    <w:p>
      <w:r>
        <w:rPr>
          <w:b/>
        </w:rPr>
        <w:t>E. 5.5</w:t>
      </w:r>
    </w:p>
    <w:p>
      <w:r>
        <w:t>Compte tenu de la capacité financière supérieure de l'appelant (5'693 fr. 35) en comparaison avec celle de l'intimée (648 fr. 25) et le fait que cette dernière pour- voit essentiellement en nature à ses obligations d'entretien envers son fils, il in- combe à l'appelant d'assurer l'entretien de C______ sous la forme de prestations pécuniaires. Les charges admissibles de l'enfant s'élèvent à 1'146 fr. 35 et les tabelles zurichoises indiquent un montant de 1'935 fr., correspondant aux besoins d'un en- fant de l'âge de C______, soit 1'635 fr. après déduction des allocations familiales, étant relevé que le niveau de vie des parties est supérieur à celui retenu par ces statistiques. Au regard de ce qui précède, le montant fixé par le Tribunal à titre de contribution à l'entretien de C______, soit une somme de 1'700 fr. jusqu'à l’âge de 11 ans révo- lus, 1'900 fr. jusqu'à l'âge de 15 ans révolus et 2'100 fr. jusqu'à sa majorité, ou ses 25 ans en cas d'études sérieuses et régulières, est approprié à la situation des par- ties et aux besoins de C______.</w:t>
      </w:r>
    </w:p>
    <w:p>
      <w:r>
        <w:t>- 13/17 -</w:t>
      </w:r>
    </w:p>
    <w:p>
      <w:r>
        <w:t>C/21019/2012 D'autant plus qu'avec un solde disponible de 5'693 fr. 35, l'appelant est en mesure d'assumer l'entretien de C______ et également celui de son deuxième enfant, de sorte que le principe d'égalité de traitement entre enfant est respecté. En effet, après déduction de la contribution d'entretien précitée, l'appelant bénéficie encore d'un solde mensuel de 3'993 fr. 35. Par conséquent, la Cour confirmera le chiffre 11 du dispositif du jugement atta- qué.</w:t>
      </w:r>
    </w:p>
    <w:p>
      <w:r>
        <w:rPr>
          <w:b/>
        </w:rPr>
        <w:t>E. 5.6</w:t>
      </w:r>
    </w:p>
    <w:p>
      <w:r>
        <w:t>Il n'est pas contesté par l'appelant qu'il n'exerce pas son droit de visite de ma- nière régulière, ce qui engendre des frais supplémentaires relatifs à la prise en charge de C______, l'intimée devant alors trouver des solutions de garde pour les vacances scolaires lorsqu'elle travaille. Le coût de prise en charge par les struc- tures d'accueil, telle que le centre aéré de Nyon, pour un enfant entre 6 et 12 ans se monte à 150 fr. par semaine. Il se justifie dès lors, en équité, de mettre à la charge de l'appelant une somme de 150 fr. par semaine de vacances où il n'exer- cerait pas son droit de visite sur C______, sous présentation des justificatifs des frais de garde afférents par l'intimée. Cette solution s'impose d'autant plus dans le cas particulier, puisque la Cour a tenu compte dans les charges mensuelles de l'ap- pelant des frais de voyage pour l'exercice de son droit de visite. En revanche, l'in- timée ne travaillant pas les week-ends, elle peut prendre en charge son fils sans frais de garde supplémentaires. La décision sera complétée en ce sens.</w:t>
      </w:r>
    </w:p>
    <w:p>
      <w:r>
        <w:rPr>
          <w:b/>
        </w:rPr>
        <w:t>E. 6</w:t>
      </w:r>
    </w:p>
    <w:p>
      <w:r>
        <w:t>L'appelant conteste encore le principe même d'une contribution d'entretien post- divorce à l'égard de l'intimée.</w:t>
      </w:r>
    </w:p>
    <w:p>
      <w:r>
        <w:rPr>
          <w:b/>
        </w:rPr>
        <w:t>E. 6.1</w:t>
      </w:r>
    </w:p>
    <w:p>
      <w:r>
        <w:t>Aux termes de l'art. 125 al. 1 CC, si l'on ne peut raisonnablement attendre d'un époux qu'il pourvoie lui-même à son entretien convenable, y compris à la consti- tution d'une prévoyance vieillesse appropriée, son conjoint lui doit une contri- 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 mun non seulement les conséquences de la répartition des tâches convenue durant le mariage (art. 163 al. 2 CC), mais également les désavantages qui ont été oc- 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ATF 132 III 598 consid. 9.1).</w:t>
      </w:r>
    </w:p>
    <w:p>
      <w:r>
        <w:t>- 14/17 -</w:t>
      </w:r>
    </w:p>
    <w:p>
      <w:r>
        <w:t>C/21019/2012 Une contribution est due si le mariage a concrètement influencé la situation finan- cière de l'époux crédirentier ("lebensprägend"). Si le mariage a duré au moins dix ans - période à calculer jusqu'à la date de la séparation des parties (ATF 132 III 598 consid. 9.2) - il a eu, en règle générale, une influence concrète. La juris- prudence retient également que, indépendamment de sa durée, un mariage in- 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ATF 134 III 145 consid. 4).</w:t>
      </w:r>
    </w:p>
    <w:p>
      <w:r>
        <w:rPr>
          <w:b/>
        </w:rPr>
        <w:t>E. 6.2</w:t>
      </w:r>
    </w:p>
    <w:p>
      <w:r>
        <w:t>En l'espèce, le mariage des parties a duré huit ans jusqu'à leur séparation et ils ont eu un enfant en commun. Sur le principe, ce mariage a eu une influence sur la situation financière de l'intimée. Toutefois, au regard de son parcours professionnel, avant et après le mariage des parties, l'intimée a effectué de nombreuses missions de plusieurs mois chacune, mais n'a jamais occupé un poste de façon régulière et sur le long terme. Cette situation a perduré après la naissance de C______, les missions de l'intimée ayant toutefois été réduites à 50% ou 60%. Dès lors, la question d'une influence concrète se pose, bien que cette problématique ne soit pas déterminante au regard de la nouvelle situation financière de l'intimée. En effet, elle exerce actuellement une activité lucrative régulière, à plein temps, qui lui rapporte un revenu suffisant pour subvenir à ses propres besoins et lui permet de dégager un solde disponible, bien qu'il soit modeste. Elle disposera en outre d'une prévoyance appropriée, compte tenu du montant que lui versera l'ap- pelant à titre du partage de ses avoirs de prévoyance et des avoirs de prévoyance actuellement accumulés. L'intimée a donc acquis une autonomie financière devant primer le droit à une contribution d'entretien post-divorce. En conséquence, la Cour annule le chiffre 15 du dispositif du jugement entrepris.</w:t>
      </w:r>
    </w:p>
    <w:p>
      <w:r>
        <w:rPr>
          <w:b/>
        </w:rPr>
        <w:t>E. 7</w:t>
      </w:r>
    </w:p>
    <w:p>
      <w:r>
        <w:t>Les frais sont mis à la charge de la partie succombante (art. 95 et 106 CPC). Lorsqu'aucune des parties n'obtient entièrement gain de cause, les frais sont ré- partis selon le sort de la cause (art. 106 al. 2 CPC). Le Tribunal peut s'écarter des règles générales et répartir les frais selon sa libre appréciation, notamment lorsque le litige relève du droit de la famille (art. 107 al. 1 ch. c CPC).</w:t>
      </w:r>
    </w:p>
    <w:p>
      <w:r>
        <w:rPr>
          <w:b/>
        </w:rPr>
        <w:t>E. 7.1</w:t>
      </w:r>
    </w:p>
    <w:p>
      <w:r>
        <w:t>Les frais et dépens de première instance ne sont pas contestés par les parties, de sorte qu'ils seront confirmés.</w:t>
      </w:r>
    </w:p>
    <w:p>
      <w:r>
        <w:t>- 15/17 -</w:t>
      </w:r>
    </w:p>
    <w:p>
      <w:r>
        <w:t>C/21019/2012</w:t>
      </w:r>
    </w:p>
    <w:p>
      <w:r>
        <w:rPr>
          <w:b/>
        </w:rPr>
        <w:t>E. 7.2</w:t>
      </w:r>
    </w:p>
    <w:p>
      <w:r>
        <w:t>Les frais judiciaires d'appel et d'appel joint sont fixés à 2'500 fr. (art. 104 al. 1, 105 et 106 al. 1 CPC; art. 28 et 35 du Règlement fixant le tarif des greffes en ma- tière civile, RS/GE RTFMC - E 1 05.10). Ceux-ci seront répartis à part égale entre les parties, qui succombent toutes deux. L'intimée étant au bénéfice de l'assistance juridique ses frais judiciaires de 1'250 fr. seront provisoirement mis à la charge de l'Etat (art. 122 al. 1 let. b, 123 CPC et 19 RAJ) et l'avance de frais de 1'250 fr. fournie par l'appelant reste acquise à l'Etat (art. 111 al. 1 CPC). Pour le surplus, les parties gardent à leur charge leurs propres dépens. * * * * *</w:t>
      </w:r>
    </w:p>
    <w:p>
      <w:r>
        <w:t>- 16/17 -</w:t>
      </w:r>
    </w:p>
    <w:p>
      <w:r>
        <w:t>C/21019/2012 PAR CES MOTIFS, La Chambre civile : A la forme : Déclare recevable l'appel interjeté le 14 juillet 2014 par A______ contre les chiffres 11 et 15 du dispositif du jugement JTPI/7316/2014 rendu le 10 juin 2014 par le Tribunal de première instance dans la cause C/21019/2012 et l'appel joint interjeté le 18 septembre 2014 par B______ contre le chiffre 11 du dispositif de ce même jugement. Au fond : Confirme le chiffre 11 du dispositif querellé. Condamne A______ à verser, en main de B______, la somme de 150 fr., pour chaque semaine de vacances scolaires où il n'exercera pas son droit de visite sur C______, B______ devant présenter les justificatifs afférents aux frais de garde correspondants. Annule le chiffre 15 du dispositif entrepris et statuant à nouveau sur ce point : Dit qu'aucune contribution post-divorce n'est due à B______. Confirme le jugement querellé pour le surplus. Déboute les parties de toutes autres conclusions. Sur les frais : Arrête les frais judiciaires d'appel et d'appel joint à 2'500 fr., les met à la charge des par- ties par moitié chacune. Dit que les frais de 1'250 fr. à charge de B______ sont provisoirement supportés par l'Etat de Genève. Dit que l'avance de frais de 1'250 fr. versée par A______ est acquise à l'Etat de Genève. Dit que chacune des parties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- 17/17 -</w:t>
      </w:r>
    </w:p>
    <w:p>
      <w:r>
        <w:t>C/21019/2012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