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ACJC/33/2023 vom 16. Januar 2023</w:t>
      </w:r>
    </w:p>
    <w:p>
      <w:r>
        <w:t>GE Cour de justice, 2023-01-16, FR</w:t>
      </w:r>
    </w:p>
    <w:p>
      <w:r>
        <w:rPr>
          <w:b/>
        </w:rPr>
        <w:t xml:space="preserve">Quelle: </w:t>
      </w:r>
      <w:r>
        <w:t>https://mcp.opencaselaw.ch/entscheid/ge_gerichte_ACJC_33_2023</w:t>
      </w:r>
    </w:p>
    <w:p>
      <w:r>
        <w:t>FR: GE_GERICHTE ACJC/33/2023 du 16 janvier 2023</w:t>
      </w:r>
    </w:p>
    <w:p>
      <w:r>
        <w:t>IT: GE_GERICHTE ACJC/33/2023 del 16 gennaio 2023</w:t>
      </w:r>
    </w:p>
    <w:p>
      <w:pPr>
        <w:pStyle w:val="Heading2"/>
      </w:pPr>
      <w:r>
        <w:t>Erwägungen</w:t>
      </w:r>
    </w:p>
    <w:p>
      <w:r>
        <w:rPr>
          <w:b/>
        </w:rPr>
        <w:t>E. 1.1</w:t>
      </w:r>
    </w:p>
    <w:p>
      <w:r>
        <w:t>S'agissant d'une procédure de mainlevée, seule la voie du recours est ouverte (art. 319 let. a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S'agissant d'une procédure de mainlevée provisoire, la Cour doit vérifier d'office si la requête est fondée sur un titre de mainlevée valable (arrêt du Tribunal fédéral 5P.174/2005 du 7 octobre 2005 consid. 2.1).</w:t>
      </w:r>
    </w:p>
    <w:p>
      <w:r>
        <w:t>- 4/8 -</w:t>
      </w:r>
    </w:p>
    <w:p>
      <w:r>
        <w:t>C/8723/2022</w:t>
      </w:r>
    </w:p>
    <w:p>
      <w:r>
        <w:rPr>
          <w:b/>
        </w:rPr>
        <w:t>E. 1.4</w:t>
      </w:r>
    </w:p>
    <w:p>
      <w:r>
        <w:t>Le recours étant instruit en procédure sommaire, la preuve des faits allégués doit être apportée par titres (art. 254 CPC). Les maximes des débats et de disposition s'appliquent (art. 55 al. 1, 255 let. a a contrario et 58 al. 1 CPC).</w:t>
      </w:r>
    </w:p>
    <w:p>
      <w:r>
        <w:rPr>
          <w:b/>
        </w:rPr>
        <w:t>E. 2</w:t>
      </w:r>
    </w:p>
    <w:p>
      <w:r>
        <w:t>2.1.1 La légitimation des parties au procès est examinée d'office, dès lors qu'elle relève du fondement matériel de l'action; elle appartient au sujet (actif ou passif) du droit invoqué en justice et son absence entraîne, non pas l'irrecevabilité de la demande, mais son rejet (arrêt du Tribunal fédéral 4A_619/2016 du 15 mars 2017 consid. 3). Les légitimations active et passive appartiennent au titulaire, respectivement à l'obligé, du droit litigieux. Ainsi, le créancier et le débiteur d'une créance ont, respectivement, la légitimation active et passive dans le procès ayant pour objet cette créance (HOHL, Procédure civile, Tome 1, 2016, n. 759-760, p. 135-136). 2.1.2 Selon l'art. 82 al. 1 LP, le créancier dont la poursuite se fonde sur une reconnaissance de dette constatée par acte authentique ou sous seing privé peut requérir la mainlevée provisoire. Le juge de la mainlevée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Constitue une reconnaissance de dette au sens de l'art. 82 LP, en particulier, l'acte sous seing privé, signé par le poursuivi ou son représentant, d'où ressort sa volonté de payer au poursuivant, sans réserve ni condition, une somme d'argent déterminée, ou aisément déterminable, et exigible (ATF 139 III 297 consid. 2.3.1). La reconnaissance de dette sous seing privé doit porter la signature du débiteur, apposée à la main. Le message électronique ne portant pas la signature électronique qualifiée ne vaut pas titre de mainlevée (ABBET/VEUILLET, La mainlevée de l'opposition, 2022, n. 15 et 30 ad art. 82 LP). Une facture signée sans réserve ni condition par le débiteur remplit les conditions de l'art. 82 al. 1 LP (ABBET/VEUILLET, op. cit., n. 38 ad art. 82 LP). En revanche, des factures - non signées par le débiteur - ne valent pas reconnaissance de dette et ce, même si elles ne sont pas contestées (arrêt du Tribunal fédéral 5P.290/2006 du 12 octobre 2006 consid. 3.2 et les références citées). 2.1.3 Le devoir d'interpellation du juge, prévu par l'art. 56 CPC, ne doit ni remplacer la collaboration qui peut être exigée des parties dans l'établissement des faits, ni servir à compenser des négligences procédurales (arrêts du Tribunal</w:t>
      </w:r>
    </w:p>
    <w:p>
      <w:r>
        <w:t>- 5/8 -</w:t>
      </w:r>
    </w:p>
    <w:p>
      <w:r>
        <w:t>C/8723/2022 fédéral 4A_444/2013 du 5 février 2014 consid. 6.3.3 et 5A_380/2016 du 15 septembre 2016 consid. 5.1).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w:t>
      </w:r>
    </w:p>
    <w:p>
      <w:r>
        <w:rPr>
          <w:b/>
        </w:rPr>
        <w:t>E. 2.2</w:t>
      </w:r>
    </w:p>
    <w:p>
      <w:r>
        <w:t>En l'espèce, c'est à bon droit que le Tribunal a débouté la recourante de sa requête tendant au prononcé de la mainlevée provisoire de l'opposition formée au commandement de payer, poursuite n° 1______. En effet, la mainlevée provisoire ne peut être accordée lorsque le poursuivant et le créancier désigné dans le titre invoqué à l'appui de la requête de mainlevée ne sont pas les mêmes. En l'occurrence, la recourante a formé la requête de mainlevée provisoire devant le Tribunal en son nom propre, alors que c'est la société C______ SÀRL qui a émis la "facture numéro #2910 de consulting pour projet de clinique datée du 19.07.2021", invoquée comme titre de créance, et initié la poursuite litigieuse contre l'intimée. Il n'appartenait pas au Tribunal d'interpeller la recourante sur cette question, dans la mesure où la légitimation active relève du fondement matériel de l'action et ne saurait faire l'objet d'une rectification au sens de l'art. 132 al. 1 CPC. A cela s'ajoute que la recourante n'a pas produit de reconnaissance de dette valant titre de mainlevée provisoire. Ainsi, il ne ressort pas des pièces produites la volonté de l'intimée de payer, sans réserve ni condition, une somme d'argent déterminée ou aisément déterminable à la recourante, respectivement à C______ SÀRL. Les échanges de courriels et la facture - non signée par la poursuivie - annexés à la requête sont insuffisants à cet égard. Dans son recours, la recourante n'a d'ailleurs pas critiqué la motivation du jugement sur ce point, se contentant de fournir des explications quant à l'objet de cette facture et quant au comportement de D______, lequel lui aurait demandé d'effectuer des démarches inutiles et l'aurait ignorée dans ses tentatives de trouver une issue amiable au litige. Pour le surplus, les preuves que la recourante indique détenir ("surtout des échanges WhatsApp") pour attester du caractère inutile des prestations effectuées sur requête de l'intimée et/ou du non-paiement de la facture litigieuse ne sont pas déterminantes pour l'issue du litige, étant rappelé que les preuves nouvelles sont irrecevables dans le cadre d'un recours (art. 326 CPC).</w:t>
      </w:r>
    </w:p>
    <w:p>
      <w:r>
        <w:t>- 6/8 -</w:t>
      </w:r>
    </w:p>
    <w:p>
      <w:r>
        <w:t>C/8723/2022 Le recours, infondé, sera donc rejeté. 3. Les frais judiciaires de recours, arrêtés à 300 fr., seront mis à la charge de la recourante, qui succombe (art. 106 al. 1 CPC), et compensés avec l'avance versée, acquise à l'Etat de Genève (art. 111 al. 1 CPC). Il ne sera pas alloué de dépens à l'intimée qui n'a pas répondu au recours. * * * * *</w:t>
      </w:r>
    </w:p>
    <w:p>
      <w:r>
        <w:t>- 7/8 -</w:t>
      </w:r>
    </w:p>
    <w:p>
      <w:r>
        <w:t>C/8723/2022 PAR CES MOTIFS, La Chambre civile :</w:t>
      </w:r>
    </w:p>
    <w:p>
      <w:r>
        <w:t>A la forme : Déclare recevable le recours interjeté le 25 octobre 2022 par A______ contre le jugement JTPI/11234/2022 rendu le 28 septembre 2022 par le Tribunal de première instance dans la cause C/8723/2022-8 SML. Au fond : Rejette ce recours. Déboute les parties de toutes autres conclusions. Sur les frais : Arrête les frais judicaires de recours à 300 fr., les met à la charge de A______ et les compense avec l'avance fournie, qui reste acquise à l'Etat de Genève. Dit qu'il n'est pas alloué de dépens de recours. Siégeant : Monsieur Laurent RIEBEN, président; Madame Fabienne GEISINGER-MARIETHOZ, Madame Nathalie RAPP,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- 8/8 -</w:t>
      </w:r>
    </w:p>
    <w:p>
      <w:r>
        <w:t>C/8723/2022</w:t>
      </w:r>
    </w:p>
    <w:p>
      <w:r>
        <w:t>Valeur litigieuse des conclusions pécuniaires au sens de la LTF inférieure à 30'000 fr.</w:t>
      </w:r>
    </w:p>
    <w:p>
      <w:r>
        <w:rPr>
          <w:b/>
        </w:rPr>
        <w:t>E. 7</w:t>
      </w:r>
    </w:p>
    <w:p>
      <w:r>
        <w:t>décembre 2011 consid. 5, SJ 2012 I 232). La légitimation n'est pas une condition de recevabilité; elle concerne le droit matériel (cf. ATF 139 III 504 consid. 1.2). Si elle fait défaut, la demande doit être rejetée (cf. supra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