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ACJC/339/2024 vom 18. März 2024</w:t>
      </w:r>
    </w:p>
    <w:p>
      <w:r>
        <w:t>GE Cour de justice, 2024-03-18, FR</w:t>
      </w:r>
    </w:p>
    <w:p>
      <w:r>
        <w:rPr>
          <w:b/>
        </w:rPr>
        <w:t xml:space="preserve">Quelle: </w:t>
      </w:r>
      <w:r>
        <w:t>https://mcp.opencaselaw.ch/entscheid/ge_gerichte_ACJC_339_2024</w:t>
      </w:r>
    </w:p>
    <w:p>
      <w:r>
        <w:t>FR: GE_GERICHTE ACJC/339/2024 du 18 mars 2024</w:t>
      </w:r>
    </w:p>
    <w:p>
      <w:r>
        <w:t>IT: GE_GERICHTE ACJC/339/2024 del 18 marzo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- 7/19 -</w:t>
      </w:r>
    </w:p>
    <w:p>
      <w:r>
        <w:t>C/17773/2020 La valeur litigieuse est déterminée par les dernières conclusions de première instance (art. 91 al. 1 CPC ; JEANDIN in Commentaire Romand du Code de procédure civile, 2e éd., 2019, N 13 ad art. 308 CPC ; arrêt du Tribunal fédéral 4A_594/2012 du 28 février 2013).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 arrêt du Tribunal fédéral 4A_475/2012 du 6 décembre 2011 consid. 1.1).</w:t>
      </w:r>
    </w:p>
    <w:p>
      <w:r>
        <w:rPr>
          <w:b/>
        </w:rPr>
        <w:t>E. 1.2</w:t>
      </w:r>
    </w:p>
    <w:p>
      <w:r>
        <w:t>En l’espèce, les appelants estiment à teneur de leur mémoire d'appel que le loyer litigieux devait en réalité être fixé à un montant de 2’150 fr. alors que le Tribunal l'a fixé à 2'500 fr. en première instance. Dès lors, la valeur litigieuse s'élève à 84’000 fr. (350 fr. x 12 mois x 20), soit à un montant supérieur à 10'000 fr. et la voie de l'appel est ainsi ouverte.</w:t>
      </w:r>
    </w:p>
    <w:p>
      <w:r>
        <w:rPr>
          <w:b/>
        </w:rPr>
        <w:t>E. 1.3</w:t>
      </w:r>
    </w:p>
    <w:p>
      <w:r>
        <w:t>Interjeté contre une décision finale de première instance, dans le délai utile de 30 jours et selon la forme prescrite par la loi, l'appel est recevable à cet égard (art. 130, 131, 142ss, 145 al. 1 let. b, 308 al. 2 et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 S'agissant d'une procédure relative à la protection contre les loyers abusifs (art. 269ss CO), la cause est soumise à la procédure simplifiée (art. 243 al. 2 let. c CPC) et la maxime inquisitoire sociale est applicable (art. 247 al. 2 let. a CPC).</w:t>
      </w:r>
    </w:p>
    <w:p>
      <w:r>
        <w:rPr>
          <w:b/>
        </w:rPr>
        <w:t>E. 2.1</w:t>
      </w:r>
    </w:p>
    <w:p>
      <w:r>
        <w:t>A titre liminaire, il convient de traiter le grief des intimées portant sur la recevabilité des conclusions non chiffrées prises par les appelants concernant la fixation judiciaire du loyer.</w:t>
      </w:r>
    </w:p>
    <w:p>
      <w:r>
        <w:rPr>
          <w:b/>
        </w:rPr>
        <w:t>E. 2.2</w:t>
      </w:r>
    </w:p>
    <w:p>
      <w:r>
        <w:t>Le fait de chiffrer des actions en paiement d'une somme d'argent (art. 84 al. 2 CPC) compte parmi les conditions de recevabilité (art. 59 CPC ; ATF 142 III 102 consid. 3), que le tribunal doit examiner d'office (art. 60 CPC ; ATF 146 III 290 consid. 4.3.3). Selon l'art. 85 al. 1 CPC, le demandeur peut intenter une action non chiffrée s'il est dans l'impossibilité d'articuler d'entrée de cause le montant de sa prétention ou si cette indication ne peut être exigée d'emblée. Il doit cependant indiquer une valeur minimale</w:t>
      </w:r>
    </w:p>
    <w:p>
      <w:r>
        <w:t>- 8/19 -</w:t>
      </w:r>
    </w:p>
    <w:p>
      <w:r>
        <w:t>C/17773/2020 comme valeur litigieuse provisoire. Cette exception vaut en particulier lorsque seule la procédure probatoire permet de fonder une créance chiffrée ; le demandeur est alors autorisé à chiffrer ses conclusions après l'administration des preuves ou la délivrance par le défendeur des informations requises. Le demandeur doit toutefois chiffrer sa demande dès qu'il est en état de le faire (art. 85 al. 2 phr. 1 CPC), autrement dit, dès que possible (arrêt du Tribunal fédéral 5A_368/2018 du 25 avril 2019 consid. 4.3.3 et les références citées). Ce qu'on entend par "dès que possible" n'est pas clairement défini. L'art. 232 CPC intitulé "plaidoiries finales", prévoit à son alinéa 1 que les parties peuvent se prononcer sur les résultats de l'administration des preuves et sur la cause au terme de l'administration des preuves. L'administration des preuves intervient donc après les premières plaidoiries (art. 231 CPC) et avant les plaidoiries finales. L'art. 85 al. 2 CPC prévoit certes que le demandeur doit chiffrer sa demande dès qu'il est en état de le faire, une fois les preuves administrées ou les informations fournies par le défendeur, mais ne précise pas le délai à respecter pour le chiffrement. Certains auteurs précisent toutefois que le chiffrement des conclusions doit intervenir avant la fin de la procédure probatoire si toutes les informations à cette fin ont déjà pu être réunies (GUT, Die unbezifferte Forderungsklage nach der Schweizerischen Zivilprozessordnung, 2014, n° 325 p. 150 ; BOPP/BESSENICH, in Kommentar zur Schweizerischen Zivilprozessordnung [ZPO], Sutter-Somm et al. (éd.), 3e éd. 2016, n° 15 ad art. 85 CPC) ou à l'issue de celle-ci (GASSER/RICKLI, Schweizerische Zivilprozessordnung, Kurzkommentar, 2e éd. 2014, n° 4 ad art. 85 CPC) mais "au plus tard" lors des plaidoiries finales du demandeur, quand bien même il estimerait ne pas disposer à ce stade de toutes les informations qu'il a requises (en ce sens : BAUMANN WEY, Die unbezifferte Forderungsklage nach Art. 85 ZPO, 2013, n° 514 ; DORSCHNER, in Basler Kommentar, Schweizerische Zivilprozessordnung, 3e éd. 2017, n° 22 ad art. 85 CPC).</w:t>
      </w:r>
    </w:p>
    <w:p>
      <w:r>
        <w:t>Sur le principe, la demande non chiffrée, alors que les conditions de l'art. 85 al. 1 CPC ne sont pas réalisées, est irrecevable, sans qu'il y ait lieu à fixation d'un délai selon l'art. 132 CPC (ATF 140 III 409 consid. 4.3.2 ; arrêts du Tribunal fédéral 4A_618/2017 du 11 janvier 2018 consid. 4.4 et 5A_871/2020 précité loc. cit.).</w:t>
      </w:r>
    </w:p>
    <w:p>
      <w:r>
        <w:rPr>
          <w:b/>
        </w:rPr>
        <w:t>E. 2.3</w:t>
      </w:r>
    </w:p>
    <w:p>
      <w:r>
        <w:t>En l'espèce, les locataires ont fait appel du jugement JTBL/959/2022 rendu par le Tribunal en date du 7 décembre 2022 et conclu à ce que le loyer soit fixé à un « montant mensuel qui reste à déterminer ». Ils n’ont dès lors pas chiffré les conclusions prises en appel, ce qui ne porterait, sur le principe, pas le flanc à la critique si les conditions d’application de l’art. 85 CPC étaient remplies.</w:t>
      </w:r>
    </w:p>
    <w:p>
      <w:r>
        <w:t>- 9/19 -</w:t>
      </w:r>
    </w:p>
    <w:p>
      <w:r>
        <w:t>C/17773/2020 La question de savoir si les appelants se trouvaient effectivement dans l’impossibilité d’articuler le montant de leur prétention ou si cette indication ne pouvait pas être exigée d’eux d’emblée au moment du dép{t de la demande devant le Tribunal peut demeurer ouverte. En revanche, les appelants disposaient manifestement de tous les moyens à disposition pour chiffrer leurs conclusions au plus tard lors des plaidoiries finales, en date du 18 octobre 2022. Il est par ailleurs observé que les appelants n’ont pas non plus indiqué de montant minimal dans le cadre de leur demande non chiffrée (arrêt du Tribunal fédéral 4A_462/2017 du 12 mars 2018 consid. 3.1.). Le Tribunal aurait dès lors dû déclarer la conclusion en fixation judiciaire du loyer irrecevable pour les motifs qui précèdent. Compte tenu de ce qui précède, les conditions d’application de l’art. 85 CPC ne sont manifestement pas non plus remplies au regard des conclusions prises en appel. En effet, les locataires n’ont pas chiffré leur conclusion en fixation judiciaire du loyer, alors qu’ils étaient manifestement en mesure de le faire. Les conclusions des appelants sont partant irrecevables. Eussent-elles été recevables, elles devraient être rejetées pour les motifs qui suivent.</w:t>
      </w:r>
    </w:p>
    <w:p>
      <w:r>
        <w:rPr>
          <w:b/>
        </w:rPr>
        <w:t>E. 3</w:t>
      </w:r>
    </w:p>
    <w:p>
      <w:r>
        <w:t>Les appelants soutiennent que, faute pour le Tribunal d'avoir obtenu les pièces nécessaires au calcul de rendement net, celui-ci aurait dû se fonder exclusivement sur le loyer du logement voisin afin de fixer le montant du loyer litigieux.</w:t>
      </w:r>
    </w:p>
    <w:p>
      <w:r>
        <w:t>Le Tribunal aurait procédé à une application erronée des statistiques cantonales.</w:t>
      </w:r>
    </w:p>
    <w:p>
      <w:r>
        <w:rPr>
          <w:b/>
        </w:rPr>
        <w:t>E. 3.1.1</w:t>
      </w:r>
    </w:p>
    <w:p>
      <w:r>
        <w:t>Un loyer usuel au sens de l’art. 269a lit. a CO suppose un usage, une pratique suffisamment répandue pour en déduire une règle. L’usage peut être démontré par la production d’exemples de loyers comparables à la chose louée (art. 11 al. 1 OBLF) ou ressortir de données statistiques officielles (art. 11 al. 4 OBLF). L’art. 11 OBLF impose une comparaison concrète. La détermination des loyers usuels ne s’effectue pas sur la base d’une impression d’ensemble (arrêt du Tribunal fédéral 4A_612/2012 du 19 février 2013 consid. 3.2) (BOHNET/BROQUET, in Commentaire pratique du droit du bail à loyer et à ferme, 2e éd., N 12 ad art. 269a CO et les références citées).</w:t>
      </w:r>
    </w:p>
    <w:p>
      <w:r>
        <w:rPr>
          <w:b/>
        </w:rPr>
        <w:t>E. 3.1.2</w:t>
      </w:r>
    </w:p>
    <w:p>
      <w:r>
        <w:t>Pour pouvoir tirer des conclusions qui offrent quelque sécurité, il faut disposer, en règle générale, de cinq éléments de comparaison au moins (ATF 123 III 317 consid. 4a, DB 1998 N 16 ; SJ 2001 I 247, DB 2001 17 ; DB 2007 N 15 ; CdB 2007 75) qui présentent, pour l’essentiel, les mêmes caractéristiques que le logement litigieux quant à l’emplacement, l’équipement, l’état et l’année de construction (art. 11 al. 1 OBLF ; ATF 123 III 317 consid. 4a, DB 1998 N 16 ; 114 II 361 consid. 4b) ainsi que les dimensions (BOHNET/BROQUET, op. cit., N 13 ad art. 269a CO) tout en tenant compte</w:t>
      </w:r>
    </w:p>
    <w:p>
      <w:r>
        <w:t>- 10/19 -</w:t>
      </w:r>
    </w:p>
    <w:p>
      <w:r>
        <w:t>C/17773/2020 de l'évolution récente de leurs loyers au regard du taux hypothécaire et de l'indice suisse des prix à la consommation (ATF 147 III 14 consid. 4.1.2.1 ; 141 III 589 consid. 2.2.3 ; 136 III 74 consid. 3.1 ; 123 III 317 consid. 4a et 4d ; arrêt du Tribunal fédéral 4A_183/2020 du 6 mai 2021 consid. 3.1.2). C’est à la partie qui se prévaut du loyer usuel qu’il incombe de prouver le caractère usuel (art. 8 CC). La preuve du loyer usuel implique de fournir au minimum cinq exemples ainsi que les détails nécessaires pour chacun d’eux s’agissant de l’emplacement, la dimension, l’équipement, l’état d’entretien et l’année de construction (ATF 139 III 13 consid. 3.1.3). Sur l'emplacement, les exemples doivent se situer dans le même quartier et disposer de qualités analogues, comme la proximité des moyens de transports publics, des commerces, des écoles ou des parcs, ainsi que l'existence ou l'absence d'immissions ou nuisances sonores particulières, comme trafic aérien ou routier (LACHAT/ STASTNY, Le bail à loyer, 2019, p. 577 ; BOHNET/BROQUET, op. cit., N 15 ad art. 269a CO). L'emplacement peut concerner aussi l'étage du bien immobilier en question (Commentaire SVIT, Le droit suisse du bail à loyer, 2011, N 11 ad art. 269a CO ; plus nuancé : LACHAT/STASTNY, ibid et note marginale, pour qui il conviendrait de catégoriser à part uniquement les logements des étages inférieurs et ceux des étages supérieurs; arrêt du Tribunal fédéral 4C.40/2001 du 15 juin 2001 consid. 5c, repris par la suite sans motivation dans les arrêts ultérieurs, qui estime que ce critère n'est « pas nécessairement pertinent »).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ou d'un balcon. Pour être comparables, les logements doivent comprendre des équipements qui soient proches par leur qualité et par leur nombre (BOHNET/BROQUET, op. cit., N 20 ad art. 269a CO ; LACHAT/STASTNY, op. cit., p. 579 ; ACJC/242/2021 du 1er mars 2021 consid. 3.1). Sur l'état général de l'appartement et de l'immeuble, il faut tenir compte dans le cadre de l'analyse d'une impression d'ensemble, du soin porté par le bailleur à l'entretien et à la rénovation de l'appartement et de l'immeuble. Seul l'entretien assumé par le propriétaire est déterminant à ce propos (BOHNET/BROQUET, op. cit., N 23 ad art. 269a CO ; LACHAT/STASTNY, ibid ; ACJC/242/2021 déjà cité consid. 3.1). Par dimension, il faut comprendre, pour les logements, le nombre de pièces, la grandeur du logement et la répartition des volumes (ATF 123 III 317 consid. 4b/cc, DB 1998 N 16). Selon le Tribunal fédéral, il convient de comparer uniquement des logements comportant le même nombre de pièces (ATF 123 III 317 consid. 4b/cc, DB 1998 N 16) et de surface semblable, le critère de la surface devant prédominer (arrêt du Tribunal</w:t>
      </w:r>
    </w:p>
    <w:p>
      <w:r>
        <w:t>- 11/19 -</w:t>
      </w:r>
    </w:p>
    <w:p>
      <w:r>
        <w:t>C/17773/2020 fédéral 4C.265/2004 du 16 janvier 2001 consid. 4b/bb) (BOHNET/BROQUET, op. cit., N 17 ad art. 269a CO). Par ailleurs,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 136 III 74 consid. 3.1 ; 127 III 411 consid. 5a ; 123 III 317 consid. 4d ; ACJC/242/2021 déjà cité consid. 5.1).</w:t>
      </w:r>
    </w:p>
    <w:p>
      <w:r>
        <w:rPr>
          <w:b/>
        </w:rPr>
        <w:t>E. 3.2</w:t>
      </w:r>
    </w:p>
    <w:p>
      <w:r>
        <w:t>Le loyer usuel peut également être démontré par référence aux données statistiques officielles (art. 11 al. 4 OBLF).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(ACJC/1219/2016 du 19 septembre 2016 ; ACJC/702/2009 du 15 juin 2009 consid. 4 ; ACJC/954/2013 du</w:t>
      </w:r>
    </w:p>
    <w:p>
      <w:r>
        <w:rPr>
          <w:b/>
        </w:rPr>
        <w:t>E. 3.3</w:t>
      </w:r>
    </w:p>
    <w:p>
      <w:r>
        <w:t>La statistique relative aux loyers moyens indique à la fois la moyenne et la médiane des loyers, ainsi que l'écart-type (OCSTAT, Le niveau des loyers à Genève, Statistique des loyers de mai 2016). Selon les explications y relatives, la « moyenne » est la notion la plus commune. Le loyer mensuel moyen des logements, tout comme le loyer mensuel moyen par pièce ou</w:t>
      </w:r>
    </w:p>
    <w:p>
      <w:r>
        <w:t>- 12/19 -</w:t>
      </w:r>
    </w:p>
    <w:p>
      <w:r>
        <w:t>C/17773/2020 le loyer mensuel moyen par m², est une simple moyenne arithmétique, soit le rapport entre la somme des loyers et le nombre de logements correspondant. La moyenne est, en général, la meilleure caractéristique de la tendance centrale. Pourtant, dans le cas des loyers, la moyenne est très influencée par les observations extrêmes. Selon les cas, elle peut donc être tirée vers le haut ou vers le bas (OCSTAT, op. cit., p. 8).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 plus significative que le loyer moyen, à condition toutefois de disposer d'observations en assez grand nombre et sans hétérogénéité excessive (OCSTAT, ibid). Quant à « l'écart-type » mentionné dans les statistiques, il mesure l'écart des observations de la série par rapport à leur moyenne. Faible, il indique une accumulation forte des données autour de la moyenne. Grand, il signifie un étalement considérable des valeurs de la série. Il s'exprime dans les mêmes unités que la moyenne, soit en franc, dans le cas des loyers (OCSTAT, op. cit., p. 8). Le Tribunal fédéral n'a pas considéré comme arbitraire la prise en compte d'un « loyer moyen »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(ACJC/1150/2015 du 28 septembre 2015 consid 5.4.2).</w:t>
      </w:r>
    </w:p>
    <w:p>
      <w:r>
        <w:rPr>
          <w:b/>
        </w:rPr>
        <w:t>E. 3.4</w:t>
      </w:r>
    </w:p>
    <w:p>
      <w:r>
        <w:t>Le Tribunal fédéral a notamment jugé non arbitraires des décisions des juridictions genevoises prononcées en ce sens sur la base des statistiques établies par l'OCSTAT s'agissant de logements ou de locaux commerciaux situés dans des immeubles anciens (arrêts du Tribunal fédéral 4A_250/2012 du 28 août 2012 et 4A_3/2011 du 28 février 2011 précités). Il ressort de la jurisprudence de la Cour qui s’est prononcée à de nombreuses reprises à ce propos, que les réajustements des statistiques cantonales permettent l’ajout de 100 fr. en présence d’une place de parking et de 1'000 fr. au loyer dans les cas où il s’agit d’une maison disposant d’un jardin (ACJC/897/2023 du 30 juin 2023 consid. 3.2.3 ; ACJC/158/2015 du 16 février 2015 consid. 6.2). 3.5.1 En l’espèce, la méthode que les locataires souhaitent voir appliquer afin de fixer judiciairement le loyer litigieux est celle des loyers usuels, au sens de l’art. 269a let. a CO.</w:t>
      </w:r>
    </w:p>
    <w:p>
      <w:r>
        <w:t>- 13/19 -</w:t>
      </w:r>
    </w:p>
    <w:p>
      <w:r>
        <w:t>C/17773/2020 Ensuite, s’agissant de la comparaison du loyer en vigueur pour leur voisine, la Cour de céans ne peut que constater que les locataires ne produisent qu’un seul exemple de loyer comparatif. La jurisprudence constante du Tribunal fédéral exige pourtant la production d’au moins cinq exemples de loyers comparatifs. Ainsi, pour cette raison déjà, c’est à juste titre que le Tribunal n’a pas tenu compte du montant du loyer de la voisine pour fixer le loyer litigieux. Puis, il sied de relever que les exigences fixées par le Tribunal fédéral en matière de loyers comparatifs sont strictes. En effet, les caractéristiques des logements à comparer doivent répondre à plusieurs critères, tels que la dimension du logement et plus précisément le nombre de pièces. Dans la mesure où le logement que les appelants souhaitent comparer au leur dispose de douze pièces, soit le double du nombre de pièces que compte le logement litigieux, cet exemple ne peut matériellement pas être utilisé aux fins de comparaison dans le cadre de la présente procédure. Finalement, c’est à juste titre que le Tribunal n’a pas tenu compte du montant du loyer pratiqué concernant la voisine, puisque la démarche ne remplissait pas les conditions jurisprudentielles précitées.</w:t>
      </w:r>
    </w:p>
    <w:p>
      <w:r>
        <w:t>3.5.2 L’application des statistiques cantonales par le Tribunal ne prête pas non plus le flanc à la critique. En effet, le Tribunal a appliqué la statistique cantonale de mai 1999 – année de conclusion du contrat de bail à loyer litigieux – du loyer moyen des appartements de 6 à 6 pièces et demi situés en dehors de la ville de Genève, dans des immeubles construits entre 1961 et 1965, faisant état d’un loyer mensuel de 1'342 fr.</w:t>
      </w:r>
    </w:p>
    <w:p>
      <w:r>
        <w:t>Conformément à la jurisprudence applicable en la matière, il y a lieu de combiner plusieurs statistiques entre elles. A cet égard, le loyer moyen en vigueur pour les nouveaux baux, selon les critères de recherches précités, s’élève à 1'951 fr. Ce dernier montant n’a pour le surplus, pas été contesté par les appelants. Il se justifiait dès lors de prendre en compte la moyenne des deux loyers mensuels précités, soit 1'646 fr. 50 auquel un montant de 1'200 fr. doit être ajouté, compte tenu des caractéristiques propres au logement. Cela, en raison de la mise à disposition d’une place de stationnement ainsi que d’une terrasse, d’un jardin potager et d’une pelouse. Partant, en application de la jurisprudence du Tribunal fédéral, il se justifiait de fixer le loyer mensuel à hauteur de 2'500 fr.</w:t>
      </w:r>
    </w:p>
    <w:p>
      <w:r>
        <w:t>- 14/19 -</w:t>
      </w:r>
    </w:p>
    <w:p>
      <w:r>
        <w:t>C/17773/2020 Par ailleurs, il sied également de relever que si – par hypothèse – la jurisprudence ne permettait pas la combinaison de statistiques entre elles, un montant de 1'200 fr. devrait être ajouté au loyer mensuel médian de 1'342 fr. en vigueur en 1999, compte tenu des particularités de l’objet litigieux.</w:t>
      </w:r>
    </w:p>
    <w:p>
      <w:r>
        <w:t>Dès lors, le Tribunal se serait trouvé dans la même situation que celle exposée plus haut, puisqu’il aurait obtenu un loyer de 2'542 fr.</w:t>
      </w:r>
    </w:p>
    <w:p>
      <w:r>
        <w:t>Compte tenu de ce qui précède, le Tribunal a appliqué de manière correcte les statistiques cantonales au regard de la jurisprudence du Tribunal fédéral applicable en la matière.</w:t>
      </w:r>
    </w:p>
    <w:p>
      <w:r>
        <w:t>4. Les appelants reprochent finalement au Tribunal de ne pas avoir examiné leurs conclusions subsidiaires en baisse de loyer. En réalité, leurs conclusions ne sont subsidiaires qu'en ce qu'elles dépendaient de la fixation préalable du loyer. On comprend qu'en tout état les locataires demandaient une baisse de loyer, liée à la baisse du taux hypothécaire. Dans la mesure où ces conclusions sont chiffrées, il convient de les examiner. Les intimés ont soutenu, dans leur réponse à l'appel, que la réduction ne devrait pas dépasser 265 fr. 75 par mois;</w:t>
      </w:r>
    </w:p>
    <w:p>
      <w:r>
        <w:t>4.1.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w:t>
      </w:r>
    </w:p>
    <w:p>
      <w:r>
        <w:t>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OBLF).</w:t>
      </w:r>
    </w:p>
    <w:p>
      <w:r>
        <w:t>Lorsque le locataire lui soumet une demande de baisse (généralement basée sur des facteurs relatifs), le bailleur peut en premier lieu y opposer un autre facteur relatif; en</w:t>
      </w:r>
    </w:p>
    <w:p>
      <w:r>
        <w:t>- 15/19 -</w:t>
      </w:r>
    </w:p>
    <w:p>
      <w:r>
        <w:t>C/17773/2020 particulier, une diminution du taux hypothécaire peut être compensée par l’augmentation de l’indice suisse des prix à la consommation, la hausse des frais d’entretien et des charges courantes ou par des prestations supplémentaires du bailleur (art. 13 al. 1 OBLF). Le bailleur peut s’en prévaloir dans le cadre du litige et doit en apporter la preuve (ATF 119 II 32, consid. 3c/bb). Le bailleur peut également opposer au locataire un facteur absolu (arrêt du Tribunal fédéral 4A_530/2012 du 17 décembre 2012), en particulier le rendement non abusif de la chose louée (ATF 121 III 163, consid. 2d) (MONTINI / WAHLEN, in Commentaire pratique du droit du bail à loyer et à ferme, Bâle 2017, N 30 ad art. 270a CO et références citées).</w:t>
      </w:r>
    </w:p>
    <w:p>
      <w:r>
        <w:t>En limitant la compensation du renchérissement à la seule part du capital exposée aux risques, le législateur a exclu toute indexation de la part de loyer destinée à rémunérer la fraction du financement qui peut être assurée par des fonds étrangers. On présume en effet que ces fonds, qui couvrent en principe 60% de l’investissement total, sont généralement garantis par un gage immobilier et ne sont par conséquent pas exposés aux risques en cas de résiliation forcée (ATF 120 II 100 consid. 5b, DB 1994 N 12). La loi reprend ainsi le modèle théorique du financement applicable à l’art. 269a lit. b CO. Tous les loyers sont ainsi concernés par l’adaptation au renchérissement, quelle que soit la structure de financement ou l’âge de l’immeuble concerné (BOHNET / BROQUET, op. cit., N 118 ad art. 269a CO). Sont déterminants l’indice en vigueur le mois précédant la fixation du loyer initial ou la dernière notification de hausse et l’indice relatif au mois qui précède la notification du nouveau loyer (art. 19 al. 2 OBLF). L’OFS, par son site internet, permet de calculer aisément le renchérissement et exprime la variation en pour-cent (calculatrice du renchérissement) (BOHNET / BROQUET, op. cit., N 121 ad art. 269a CO).</w:t>
      </w:r>
    </w:p>
    <w:p>
      <w:r>
        <w:t>4.2 Selon l’art. 269a let. b CO, ne sont en règles générales pas abusifs les loyers qui sont justifiés par une « hausse des coûts », c’est-à-dire notamment par une hausse des taxes, des imp{ts sur les immeubles, des rentes de droit de superficie, des primes d’assurances, ainsi que des frais d’entretien (art. 12 al. 1 OBLF). En réalité, ce critère se réfère à l’évolution des charges courantes (non facturées comme frais accessoires) et des charges d’entretien (à l’exclusion des travaux à plus-value) (LACHAT / STASTNY, Le bail à loyer, Edition 2019, p. 594). Les charges d’entretien sont des dépenses relatives aux travaux entrepris dans l’immeuble en général et dans le local concerné, en vue du maintien de l’état convenu (LACHAT / STASTNY, op. cit., p. 558). Pour déterminer de manière concrète l’évolution des charges courantes et d’entretien, on calculera, en règle générale, deux moyennes établies sur plusieurs années (en principe cinq ans, au minimum trois ans) (ATF 141 III 245 consid. 6.5 et 6.6 ; arrêt du Tribunal fédéral 4A_415/2015 du 22 août 2016 consid. 5.4.1). La première moyenne portera sur</w:t>
      </w:r>
    </w:p>
    <w:p>
      <w:r>
        <w:t>- 16/19 -</w:t>
      </w:r>
    </w:p>
    <w:p>
      <w:r>
        <w:t>C/17773/2020 les exercices précédant la dernière fixation du loyer, la seconde sur les exercices précédant la demande d’adaptation du loyer litigieuse (ATF 141 III 245 consid. 6.5). Le bailleur doit démontrer une hausse des coûts et expliquer les difficultés rencontrées en termes de preuves (LACHAT / STASTNY, op. cit., p. 596). S’il se prévaut d’une augmentation de ses charges, soit pour obtenir une majoration de loyer, soit pour s’opposer à une demande de baisse, il doit produire les pièces comptables en sa possession (art. 160 al. 1 let. b CPC ; art. 20 OBLF) (LACHAT / STASTNY, op. cit., p. 601). En procédure, il appartient au bailleur de prouver le bien-fondé des motifs de hausse (art. 8 CC) ; il doit ainsi produire les pièces probantes (MONTINI / WAHLEN, op.cit., N 15 ad art. 270b CO ; dans le même sens, LACHAT, Le bail à loyer, 2008, p. 409 ch. 3.3.4). Le bailleur qui ne produit pas les documents pertinents doit être débouté de sa demande (LACHAT / STASTNY, op. cit., p. 601). Les charges courantes et d'entretien doivent être en principe comptabilisées en fonction de leur montant effectif et non pas sur la base de forfaits (BOHNET/BROQUET, op. cit., N 54 ad art. 269a CO). En tout état, le recours à un forfait ne devrait pas être admis si l'absence de documents probants est dû à une faute du bailleur ou si ce dernier ne cherche qu'à se simplifier la tâche (LACHAT/STASTNY, op. cit., p. 595-596). Une exception implique qu'il ne soit pas possible d'établir des moyennes fiables, notamment lorsque certaines données ne sont plus accessibles ou lorsque les comptes d'un exercice comportent des chiffres anormalement bas ou élevés, qui faussent toute comparaison (ATF 122 III 257 consid. 3b/bb ; 111 II 378 consid. 2). Dans la mesure où les données concrètes du cas ne permettent pas d’aboutir à un résultat satisfaisant, parce que le bailleur ne dispose pas de toutes les pièces comptables nécessaires, le coût moyen de l’entretien peut être calculé sur une plus courte durée (TF, mp 2001 148 c. 3 : cas du bailleur qui a acquis l’immeuble deux ans auparavant sans avoir été en mesure de récupérer les pièces comptables de l’ancien bailleur) ou en se fondant uniquement sur la période entre l’acquisition du bien loué et la demande de réduction de loyer (arrêt du Tribunal fédéral 4A_88/2013 du 17 juillet 2013 consid. 4.5) (BOHNET / BROQUET, op. cit., N 54 ad art. 269a CO).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(LACHAT/STASTNY, op. cit., p. 558).</w:t>
      </w:r>
    </w:p>
    <w:p>
      <w:r>
        <w:t>- 17/19 -</w:t>
      </w:r>
    </w:p>
    <w:p>
      <w:r>
        <w:t>C/17773/2020 4.3 La Cour de céans considère que le recours au forfait est contraire au principe d'un loyer fondé sur les coûts effectifs, qu'il ne trouve pas d'assise dans l'OBLF et qu'il contrevient à la règle selon laquelle le bailleur doit prouver l'évolution des coûts en fournissant des chiffres précis (art. 20 al. 1 OBLF) (arrêts de la Cour de justice ACJC/976/2022 et ACJC/977/2022 du 4 août 2022 consid. 2.4). 4.4 En l'espèce, les conclusions des appelants en baisse de loyer doivent être examinées à compter de la date de signature du contrat de bail litigieux. En date du 15 octobre 1999, le taux hypothécaire de référence était fixé à 4% (BOHNET/ MONTINI, in Commentaire pratique du droit du bail à loyer et à ferme, 2e éd., Annexe 3.2, p. 1715) et les appelants ont sollicité une baisse de loyer en raison de l’évolution du taux d’intérêt hypothécaire de référence en date du 6 juillet 2020, alors que le taux précité était fixé à 1.25%. Eu égard à la baisse du taux d’intérêt hypothécaire de référence de 4% à 1.25%, la baisse maximale de loyer que pourraient obtenir les appelants est de 24.81% (BOHNET/MONTINI, op. cit., Annexe 3.3, p. 1721). En contre-partie, les intimées opposent à la demande de baisse de loyer, l’évolution de l’indice suisse des prix à la consommation (ISPC). Lors de la conclusion du contrat de bail litigieux, l’ISPC de référence était de 105.3 points (base mai 1993 = 100). Au mois de juillet 2020, il était de 114.7 points (base mai 1993 = 100). Répercutée à concurrence de 40%, cette hausse induit une augmentation de loyer de 3.57% (cf. LACHAT, op. cit. p. 628 s.). Les intimées opposent également une hausse des charges d’exploitation à la demande en réduction de loyer des appelants. A cet égard, elles souhaitent voir appliquer une augmentation forfaitaire de 10.5% et déroger ainsi à l’exigence de fournir trois décomptes de charges, au minimum, en application de la jurisprudence du Tribunal fédéral. Toutefois, il aurait été nécessaire, pour ce faire, que les intimées invoquent et démontrent des circonstances telles que les documents ne sont plus accessibles ou que les chiffres inscrits ne permettent aucune comparaison. A cet égard, les intimées se sont limitées à alléguer qu’il était naturel que les charges eussent augmenté depuis le début du bail. Elles n’ont toutefois nullement démontré avoir entrepris de quelconques démarches tendant à l’obtention des documents utiles depuis le décès de H______ survenu en 2015. Il est relevé néanmoins que D______ et E______ sont les filles et héritières légales de H______, tandis que C______ en était l’épouse. Les intimées n’ont pas non plus démontré avoir été empêchées d’accéder aux comptes se rapportant à l’objet loué.</w:t>
      </w:r>
    </w:p>
    <w:p>
      <w:r>
        <w:t>- 18/19 -</w:t>
      </w:r>
    </w:p>
    <w:p>
      <w:r>
        <w:t>C/17773/2020 Elles ne démontrent aucun motif qui leur aurait empêché l'accès aux documents nécessaires. Dans la mesure où les intimées ne cherchent qu’à se simplifier la tâche et à tenter d’obtenir une hausse forfaitaire des charges d’exploitation de l’immeuble, il ne sera pas fait droit à leur demande sur ce point. Partant, les appelants ont droit à une réduction de 21.24% (24.81% - 3.57%). Le pourcentage de baisse précité induit une baisse de 531 fr. par mois. Le loyer mensuel sera donc fixé à 1'969 fr. (2'500 fr. – 531 fr.) dès le 15 octobre 2020. 5. En application de l'art. 22 al. 1 LaCC, il ne sera pas perçu de frais judiciaires et il ne sera pas alloué de dépens. * * * * *</w:t>
      </w:r>
    </w:p>
    <w:p>
      <w:r>
        <w:t>- 19/19 -</w:t>
      </w:r>
    </w:p>
    <w:p>
      <w:r>
        <w:t>C/17773/2020</w:t>
      </w:r>
    </w:p>
    <w:p>
      <w:r>
        <w:t>PAR CES MOTIFS, La Chambre des baux et loyers :</w:t>
      </w:r>
    </w:p>
    <w:p>
      <w:r>
        <w:t>A la forme : Déclare recevable l’appel interjeté le 25 janvier 2023 par A______ et B______ contre le jugement JTBL/959/2022 du 7 décembre 2022 rendu par le Tribunal des baux et loyers dans la cause C/17773/2020.</w:t>
      </w:r>
    </w:p>
    <w:p>
      <w:r>
        <w:t>Au fond : Annule le chiffre 2 du dispositif du jugement entrepris. Fixe à 1'969 fr., hors frais accessoires, le loyer mensuel de l’appartement de six pièces sis chemin 1______ no. ______ à G______ dès le 15 octobre 2020. Confirme le jugement entrepris pour le surplus. Dit que la procédure est gratuite. Déboute les parties de toutes autres conclusions.</w:t>
      </w:r>
    </w:p>
    <w:p>
      <w:r>
        <w:t>Siégeant : Monsieur Ivo BUETTI, président; Mesdames Pauline ERARD et Fabienne GEISINGER- MARIETHOZ, juges; Monsieur Serge PATEK et Madame Sibel UZUN, juges assesseurs; Madame Maïté VALENTE,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août 2013 consid. 2 ; ACJC/1500/2013 du 16 décembre 2013 consid. 6.1.2 ; ACJC/390/2015 du 30 mars 2015 consid. 6.1). S'agissant du choix de la statistique à prendre en compte parmi celles établies par l'OCSTAT, le juge dispose d'un large pouvoir d'appréciation (ACJC/1303/2007 consid. 3.5 ; ACJC/812/2010 du 21 juin 2010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