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ACJC/338/2025 vom 7. März 2025</w:t>
      </w:r>
    </w:p>
    <w:p>
      <w:r>
        <w:t>GE Cour de justice, 2025-03-07, FR</w:t>
      </w:r>
    </w:p>
    <w:p>
      <w:r>
        <w:rPr>
          <w:b/>
        </w:rPr>
        <w:t xml:space="preserve">Quelle: </w:t>
      </w:r>
      <w:r>
        <w:t>https://mcp.opencaselaw.ch/entscheid/ge_gerichte_ACJC_338_2025</w:t>
      </w:r>
    </w:p>
    <w:p>
      <w:r>
        <w:t>FR: GE_GERICHTE ACJC/338/2025 du 7 mars 2025</w:t>
      </w:r>
    </w:p>
    <w:p>
      <w:r>
        <w:t>IT: GE_GERICHTE ACJC/338/2025 del 7 marzo 2025</w:t>
      </w:r>
    </w:p>
    <w:p>
      <w:pPr>
        <w:pStyle w:val="Heading2"/>
      </w:pPr>
      <w:r>
        <w:t>Erwägungen</w:t>
      </w:r>
    </w:p>
    <w:p>
      <w:r>
        <w:rPr>
          <w:b/>
        </w:rPr>
        <w:t>E. 1.1</w:t>
      </w:r>
    </w:p>
    <w:p>
      <w:r>
        <w:t>Le jugement entrepris ayant été communiqué aux parties avant le 1er janvier 2025, le présent recours demeure régi par l'ancien droit de procédure (art. 404 al. 1 et 405 al. 1 CPC), sous réserve des dispositions d'application immédiate énumérées à l'art. 407f CPC.</w:t>
      </w:r>
    </w:p>
    <w:p>
      <w:r>
        <w:rPr>
          <w:b/>
        </w:rPr>
        <w:t>E. 1.2</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w:t>
      </w:r>
    </w:p>
    <w:p>
      <w:r>
        <w:rPr>
          <w:b/>
        </w:rPr>
        <w:t>E. 1.3</w:t>
      </w:r>
    </w:p>
    <w:p>
      <w:r>
        <w:t>Dans le cadre d'un recours, le pouvoir d'examen de la Cour est limité à la violation du droit et à la constatation manifestement inexacte des faits (art. 320 CPC).</w:t>
      </w:r>
    </w:p>
    <w:p>
      <w:r>
        <w:rPr>
          <w:b/>
        </w:rPr>
        <w:t>E. 1.4</w:t>
      </w:r>
    </w:p>
    <w:p>
      <w:r>
        <w:t>Le recours étant instruit en procédure sommaire, la preuve des faits allégués doit être apportée par titres (art. 254 CPC). Les maximes des débats et de disposition s'appliquent (art. 55 al. 1, 58 al. 1 et 255 let. a a contrario CPC).</w:t>
      </w:r>
    </w:p>
    <w:p>
      <w:r>
        <w:t>- 5/10 -</w:t>
      </w:r>
    </w:p>
    <w:p>
      <w:r>
        <w:t>C/7441/2024</w:t>
      </w:r>
    </w:p>
    <w:p>
      <w:r>
        <w:rPr>
          <w:b/>
        </w:rPr>
        <w:t>E. 1.5</w:t>
      </w:r>
    </w:p>
    <w:p>
      <w:r>
        <w:t>Les conclusions, les allégations de faits et les preuves nouvelles sont irrecevables devant l'autorité de recours (art. 326 al. 1 CPC). La pièce nouvelle versée par le recourant est irrecevable. Les faits qu'elle vise ressortent des pièces produites par l'intimé en première instance.</w:t>
      </w:r>
    </w:p>
    <w:p>
      <w:r>
        <w:rPr>
          <w:b/>
        </w:rPr>
        <w:t>E. 2</w:t>
      </w:r>
    </w:p>
    <w:p>
      <w:r>
        <w:t>Le recourant reproche au Tribunal d'avoir considéré que l'action en modification du jugement de divorce initiée par l'intimé était susceptible d'avoir des effets sur les contributions d'entretien fixées par le jugement de divorce et d'avoir ainsi, à tort, refusé de prononcer la mainlevée définitive de l'opposition formée au commandement de payer. 2.1.1 Le créancier qui est au bénéfice d'un jugement exécutoire peut requérir du juge la mainlevée définitive de l'opposition (art. 80 al. 1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(ATF 142 III 78 consid. 3.1; 140 III 180 consid. 5.2.1; 124 III 501 consid. 3a). Le juge de la mainlevée définitive examine seulement la force probante du titre produit par le créancier, sa nature formelle, et non la validité de la créance. Il doit examiner d'office les trois identités – l'identité entre le poursuivant et le créancier désigné dans ce titre, l'identité entre le poursuivi et le débiteur désigné et l'identité entre la prétention déduite en poursuite et le titre qui lui est présenté – et statuer sur le droit du créancier de poursuivre le débiteur, c'est-à-dire décider si l'opposition doit ou non être maintenue (ATF 140 III 372 consid. 3.1;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 2.1.2 Le juge ordonne la mainlevée définitive de l'opposition, à moins que l'opposant ne prouve par titre que la dette a été éteinte ou qu'il a obtenu un sursis, postérieurement au jugement, ou qu'il ne se prévale de la prescription (art. 81 al. 1 LP). L'extinction de la dette peut intervenir non seulement par paiement, remise de dette, compensation ou accomplissement d'une condition résolutoire, mais aussi</w:t>
      </w:r>
    </w:p>
    <w:p>
      <w:r>
        <w:t>- 6/10 -</w:t>
      </w:r>
    </w:p>
    <w:p>
      <w:r>
        <w:t>C/7441/2024 en vertu de toute autre cause de droit civil. Il appartient au débiteur d'établir par titre que sa dette est éteinte. A la différence de la mainlevée provisoire (art. 82 al. 2 LP), le poursuivi ne peut se borner à rendre sa libération vraisemblable. Le titre de mainlevée au sens de l'art. 81 al. 1 LP créant la présomption que la dette existe, cette présomption ne peut être renversée que par la preuve stricte du contraire (ATF 136 III 624 consid. 4.2.1; 124 III 501 consid. 3a). 2.1.3 En matière de contributions d'entretien périodiques, le débiteur qui estime n'être plus astreint à payer, peut invoquer, selon les cas, des circonstances assez variées : il peut s'agir par exemple du remariage de l'ex-épouse (art. 130 al. 2 CC), de la survenance de la majorité d'un enfant ou de l'interruption de sa formation alors qu'il est majeur (art. 277 CC). Si certaines de ces circonstances sont simples à établir (majorité, remariage), d'autres sont plus complexes à démontrer, surtout dans le cadre de la procédure sommaire, limitée en règle générale à la preuve par titre. Dans de tels cas, le juge de la mainlevée ne doit pas être contraint à élucider des situations compliquées. Il appartient au débiteur de démontrer clairement la survenance de la condition légale résolutoire annihilant les effets du jugement, sauf si cette dernière est reconnue sans réserve par le créancier ou si elle est notoire. A défaut, le juge doit prononcer la mainlevée définitive et renvoyer le débiteur à faire constater son éventuelle libération par la voie de l'art. 85a LP (arrêt du Tribunal fédéral 5P_514/2006 du 13 avril 2007 consid. 3.1 et 3.2; ACJC/1380/2013 du 22 novembre 2013 consid. 6.2.1). Le débiteur d'entretien peut également se prévaloir d'une décision postérieure entrée en force, d'une transaction judiciaire ou ratifiée par l'autorité de protection de l'enfant (art. 287 al. 2 CC), voire, pour les questions ne concernant pas les enfants, d'une convention ou d'une renonciation sous seing privé (cf. art. 284 al. 2 CPC), supprimant ou modifiant la contribution initialement fixée. Une convention ou une renonciation orale ne peut en revanche être invoquée; il en va a fortiori de même d'une prétendue renonciation tacite, par actes concluants, résultant de l'absence de protestation en cas de non-paiements ou de paiements de montants inférieurs sur une certaine durée (ABBET/VEUILLET, La mainlevée de l'opposition, 2022, n. 21 ad art. 81 LP et les références citées). Parmi les moyens libératoires qui remettent en cause l'existence ou l'exigibilité de la créance déduite en poursuite (art. 81 al. 1 LP) figure la modification du jugement sur lequel le poursuivant se fonde pour requérir la mainlevée définitive de l'opposition (ATF 55 II 161; GILLIERON, Commentaire de la loi fédérale sur la poursuite pour dettes et la faillite, 1999, n. 51 ad art. 81 LP). Selon la jurisprudence, un jugement portant condamnation à verser une contribution d'entretien constitue un titre de mainlevée définitive tant qu'il n'a pas été modifié par un nouveau jugement entré en force de chose jugée (arrêts du Tribunal fédéral 5A_419/2009 du 15 septembre 2009 consid. 7.3.1; 5P_82/2002 du 11 avril 2002 consid. 3b), c'est-à-dire qui est devenu définitif, parce qu'il ne peut plus être</w:t>
      </w:r>
    </w:p>
    <w:p>
      <w:r>
        <w:t>- 7/10 -</w:t>
      </w:r>
    </w:p>
    <w:p>
      <w:r>
        <w:t>C/7441/2024 attaqué par une voie de recours ordinaire qui, de par la loi, a un effet suspensif (arrêt du Tribunal fédéral 5A_419/2009 du 15 septembre 2009 précité loc.cit.).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(ATF 117 II 368 consid. 4c; arrêt du Tribunal fédéral 5A_190/2020 du 30 avril 2021 consid. 3).</w:t>
      </w:r>
    </w:p>
    <w:p>
      <w:r>
        <w:rPr>
          <w:b/>
        </w:rPr>
        <w:t>E. 2.2</w:t>
      </w:r>
    </w:p>
    <w:p>
      <w:r>
        <w:t>En l'espèce, il est constant que le jugement de divorce, fixant les contributions d'entretien en faveur des enfants de l'intimé, est définitif et exécutoire. Il n'est pas contesté que le recourant est au bénéfice d'une cession en vue d'encaissement signée par la représentante légale des enfants et que les contributions d'entretien réclamées concernent la période de mai 2022 à septembre 2023.</w:t>
      </w:r>
    </w:p>
    <w:p>
      <w:r>
        <w:t>L'intimé a rendu vraisemblable avoir initié une procédure en modification du jugement de divorce. A la date à laquelle le Tribunal a gardé la cause à juger, l'intimé avait été débouté des fins de sa requête et avait saisi la Cour d'un appel contre ce jugement. Ainsi, il ne disposait pas d'un jugement entré en force modifiant le jugement de divorce. C'est par conséquent à tort que le Tribunal a considéré que cette procédure faisait échec au prononcé de la mainlevée définitive.</w:t>
      </w:r>
    </w:p>
    <w:p>
      <w:r>
        <w:rPr>
          <w:b/>
        </w:rPr>
        <w:t>E. 2.3</w:t>
      </w:r>
    </w:p>
    <w:p>
      <w:r>
        <w:t>Le recours est par conséquent fondé. Le chiffre 1 du dispositif du jugement entrepris sera dès lors annulé et il sera réformé (art. 327 CPC) en ce sens que la mainlevée définitive de l'opposition formée au commandement de payer, poursuite n° 1______, sera prononcée.</w:t>
      </w:r>
    </w:p>
    <w:p>
      <w:r>
        <w:rPr>
          <w:b/>
        </w:rPr>
        <w:t>E. 3</w:t>
      </w:r>
    </w:p>
    <w:p>
      <w:r>
        <w:t>3.1.1 Si l’instance de recours statue à nouveau, elle se prononce sur les frais de première instance (art. 318 al. 3 CPC, applicable par analogie: JEANDIN in Code de procédure civile, Commentaire romand, 2ème éd., 2019, n. 9 ad art. 327 CPC). 3.1.2 En l'espèce, le montant des frais judiciaires arrêté par le Tribunal, soit 500 fr., est conforme aux normes applicables (art. 48 al. 1 OELP) et n'est pas critiqué en tant que tel. Compte tenu du fait que le recours est admis, il se justifie de modifier la répartition des frais. Le recourant obtenant gain de cause, les frais de première instance seront mis à la charge de l'intimé (art. 106 al. 1 CPC). L'intimé sera en conséquence condamné à verser 500 fr. à titre de remboursement de frais de première instance au recourant. Il ne se justifie pas d'allouer de dépens au recourant. Les chiffres 2 et 3 du dispositif du jugement seront par conséquent annulés et seront réformés dans le sens qui précède.</w:t>
      </w:r>
    </w:p>
    <w:p>
      <w:r>
        <w:t>- 8/10 -</w:t>
      </w:r>
    </w:p>
    <w:p>
      <w:r>
        <w:t>C/7441/2024</w:t>
      </w:r>
    </w:p>
    <w:p>
      <w:r>
        <w:rPr>
          <w:b/>
        </w:rPr>
        <w:t>E. 3.2</w:t>
      </w:r>
    </w:p>
    <w:p>
      <w:r>
        <w:t>Les frais judiciaires de recours seront arrêtés à 750 fr. (art. 48 et 61 OELP) et compensés avec l'avance versée par le recourant, qui demeure acquise à l'Etat de Genève (art. 111 al. 1 CPC). Ils seront mis à la charge de l'intimé, qui succombe (art. 106 al. 1 CPC) et il sera condamné à les rembourser au recourant (art. 111 al. 2 CPC). Il ne sera pas alloué de dépens de recours. * * * * *</w:t>
      </w:r>
    </w:p>
    <w:p>
      <w:r>
        <w:t>- 9/10 -</w:t>
      </w:r>
    </w:p>
    <w:p>
      <w:r>
        <w:t>C/7441/2024 PAR CES MOTIFS, La Chambre civile :</w:t>
      </w:r>
    </w:p>
    <w:p>
      <w:r>
        <w:t>A la forme : Déclare recevable le recours interjeté le 25 novembre 2024 par ETAT DE GENEVE, SERVICE CANTONAL D'AVANCE ET DE RECOUVREMENT DES PENSIONS ALIMENTAIRES (SCARPA) contre le jugement JTPI/13818/2024 rendu le 6 novembre 2024 par le Tribunal de première instance dans la cause C/7441/2024–3 SML. Au fond : Annule ce jugement. Cela fait et statuant à nouveau : Prononce la mainlevée définitive de l'opposition formée au commandement de payer, poursuite n° 1______. Arrête les frais de première instance à 500 fr., compensés avec l'avance fournie, acquise à l'Etat de Genève, et les met à la charge de A______. Condamne A______ à verser 500 fr. à l'ETAT DE GENEVE, SERVICE CANTONAL D'AVANCE ET DE RECOUVREMENT DES PENSIONS ALIMENTAIRES (SCARPA) à titre de remboursement de frais. Dit qu'il n'est pas alloué de dépens de première instance. Déboute les parties de toutes autres conclusions. Sur les frais : Arrête les frais judiciaires du recours à 750 fr., compensés avec l'avance de frais fournie, acquise à l'Etat de Genève, et les met à la charge de A______. Condamne A______ à verser 750 fr. à l'ETAT DE GENEVE, SERVICE CANTONAL D'AVANCE ET DE RECOUVREMENT DES PENSIONS ALIMENTAIRES (SCARPA) à titre de remboursement de frais.</w:t>
      </w:r>
    </w:p>
    <w:p>
      <w:r>
        <w:t>- 10/10 -</w:t>
      </w:r>
    </w:p>
    <w:p>
      <w:r>
        <w:t>C/7441/2024 Dit qu'il n'est pas alloué de dépens de recours.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