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ACJC/338/2024 vom 18. Oktober 2023</w:t>
      </w:r>
    </w:p>
    <w:p>
      <w:r>
        <w:t>GE Cour de justice, 2023-10-18, FR</w:t>
      </w:r>
    </w:p>
    <w:p>
      <w:r>
        <w:rPr>
          <w:b/>
        </w:rPr>
        <w:t xml:space="preserve">Quelle: </w:t>
      </w:r>
      <w:r>
        <w:t>https://mcp.opencaselaw.ch/entscheid/ge_gerichte_ACJC_338_2024</w:t>
      </w:r>
    </w:p>
    <w:p>
      <w:r>
        <w:t>FR: GE_GERICHTE ACJC/338/2024 du 18 octobre 2023</w:t>
      </w:r>
    </w:p>
    <w:p>
      <w:r>
        <w:t>IT: GE_GERICHTE ACJC/338/2024 del 18 ottobre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soit une question de nature patrimoniale, qui, capitalisée selon l'art. 92 al. 2 CPC, conduit à une valeur litigieuse supérieure à 10'000 fr., de sorte que la voie de l'appel est ouverte.</w:t>
      </w:r>
    </w:p>
    <w:p>
      <w:r>
        <w:rPr>
          <w:b/>
        </w:rPr>
        <w:t>E. 1.2</w:t>
      </w:r>
    </w:p>
    <w:p>
      <w:r>
        <w:t>Interjeté dans le délai utile de dix jours dès la notification du jugement (art. 142 al. 1, art. 143 al. 1, art. 271 lit. a et art. 314 al. 1 CPC), suivant la forme prescrite par la loi (art. 130, 131 et 311 al. 1 CPC), l'appel est recevable. La réponse de l'intimée et la réplique spontanée de l'appelant sont également recevables (art. 312, 314 al. 1 et 316 al. 2 CPC; sur le droit à la réplique spontanée: cf. ATF 146 III 97 consid. 3.4.1).</w:t>
      </w:r>
    </w:p>
    <w:p>
      <w:r>
        <w:rPr>
          <w:b/>
        </w:rPr>
        <w:t>E. 1.3</w:t>
      </w:r>
    </w:p>
    <w:p>
      <w:r>
        <w:t>La cause présente un élément d'extranéité du fait de la nationalité étrangère des parties. Les parties ne contestent pas, à juste titre, la compétence des autorités judiciaires genevoises (art. 46 LDIP) et l'application du droit suisse (art. 48 et 49 LDIP; art. 4 de la Convention de La Haye du 2 octobre 1973 sur la loi applicable aux obligations alimentaires).</w:t>
      </w:r>
    </w:p>
    <w:p>
      <w:r>
        <w:t>- 6/13 -</w:t>
      </w:r>
    </w:p>
    <w:p>
      <w:r>
        <w:t>C/11765/2023</w:t>
      </w:r>
    </w:p>
    <w:p>
      <w:r>
        <w:rPr>
          <w:b/>
        </w:rPr>
        <w:t>E. 2.1</w:t>
      </w:r>
    </w:p>
    <w:p>
      <w:r>
        <w:t>La Cour revoit la cause en fait et en droit avec un plein pouvoir d'examen (art. 310 CPC). 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2.2</w:t>
      </w:r>
    </w:p>
    <w:p>
      <w:r>
        <w:t>En tant qu'elle porte sur la question de la contribution à l'entretien de l'épouse, la cause est soumise à la maxime de disposition (art. 58 al. 1 CPC) et à la maxime inquisitoire limitée (art. 55 al. 2, 272 et 277 CPC), de sorte que le Tribunal ne peut accorder à une partie ni plus ni autre chose que ce qui est demandé, ni moins que ce qui est reconnu par la partie adverse (arrêt du Tribunal fédéral 5A_571/2019 du 25 février 2020 consid. 5.1).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5A_584/2022 du 18 janvier 2023 consid. 3.1.1).</w:t>
      </w:r>
    </w:p>
    <w:p>
      <w:r>
        <w:rPr>
          <w:b/>
        </w:rPr>
        <w:t>E. 3</w:t>
      </w:r>
    </w:p>
    <w:p>
      <w:r>
        <w:t>Les parties ont déposé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("echte Noven"),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Des faux nova sont excusables lorsque le comportement de la partie adverse en première instance a permis de croire qu'il n'était pas nécessaire de les présenter (arrêts du Tribunal fédéral 5A_697/2020 du 22 mars 2021 consid. 3;</w:t>
      </w:r>
    </w:p>
    <w:p>
      <w:r>
        <w:t>- 7/13 -</w:t>
      </w:r>
    </w:p>
    <w:p>
      <w:r>
        <w:t>C/11765/2023 5A_621/2012 du 20 mars 2013 consid. 5.4; BASTONS BULLETI, PC- CPC, 2021, n° 14 ad art. 317 CPC) ou lorsqu'un thème est abordé pour la première fois en appel (arrêts du Tribunal fédéral 5A_621/2012 précité; 4A_360/2017 du 30 novembre 2017 consid. 8.1; 4A_305/2012 du 6 février 2013 consid. 3.3; BASTONS BULLETTI, ibid.).</w:t>
      </w:r>
    </w:p>
    <w:p>
      <w:r>
        <w:rPr>
          <w:b/>
        </w:rPr>
        <w:t>E. 3.2</w:t>
      </w:r>
    </w:p>
    <w:p>
      <w:r>
        <w:t>En l'espèce, la pièce nouvelle n° 22 produite par l'appelant, soit le décompte de primes d'assurance-maladie 2022 de l'intimée, est antérieure à la date à laquelle le Tribunal a gardé la cause à juger. Cela étant, dans la mesure où l'appelant n'a formulé aucune conclusion relative à l'entretien entre époux dans sa requête de mesures protectrices et que l'intimée n'a conclu à l'octroi d'une telle contribution qu'au cours de l'unique audience, à l'issue de laquelle le Tribunal a immédiatement gardé la cause à juger, la question de savoir si l'appelant était fondé à croire qu'il n'était pas nécessaire de présenter un tel titre pourrait se poser. La recevabilité de cette pièce souffre en tout état de rester indécise, dès lors que l'intimée a non seulement admis les faits y relatifs, mais encore qu'elle les a elle-même allégués dans son écriture de réponse à l'appel. N'étant pas contestés, ils n'ont plus à être prouvés. S'agissant des pièces nouvelles produites par l'intimée, la pièce n° 5 est antérieure à la date à laquelle le Tribunal a gardé la cause à juger. L'intimée n'expose pas de raison qui l'aurait empêchée de la produire en première instance. Cette pièce est par conséquent irrecevable, ainsi que les allégués de fait s'y rapportant, étant précisé qu'elle est quoi qu'il en soit sans pertinence pour l'issue du litige. La pièce n° 6 est postérieure à la date à laquelle le Tribunal a gardé la cause à juger. Elle est par conséquent recevable, de même que les faits qui s'y rapportent.</w:t>
      </w:r>
    </w:p>
    <w:p>
      <w:r>
        <w:rPr>
          <w:b/>
        </w:rPr>
        <w:t>E. 4</w:t>
      </w:r>
    </w:p>
    <w:p>
      <w:r>
        <w:t>L'appelant reproche à l'instance précédente d'avoir procédé à une constatation inexacte des faits sur plusieurs points. L'état de fait présenté ci-dessus a été rectifié et complété dans la mesure utile, sur la base des actes et des pièces de la présente procédure, de sorte que le grief de l'appelant en lien avec la constatation inexacte des faits ne sera pas traité plus avant.</w:t>
      </w:r>
    </w:p>
    <w:p>
      <w:r>
        <w:rPr>
          <w:b/>
        </w:rPr>
        <w:t>E. 5</w:t>
      </w:r>
    </w:p>
    <w:p>
      <w:r>
        <w:t>L'appelant reproche au Tribunal d'avoir alloué une contribution d'entretien à l'intimée. Il fait valoir que les époux ayant toujours convenu d'une indépendance totale entre eux, l'intimée ne serait pas fondée à prétendre au versement d'une contribution d'entretien sur mesures protectrices de l'union conjugale.</w:t>
      </w:r>
    </w:p>
    <w:p>
      <w:r>
        <w:rPr>
          <w:b/>
        </w:rPr>
        <w:t>E. 5.1</w:t>
      </w:r>
    </w:p>
    <w:p>
      <w:r>
        <w:t>Selon l'art. 176 al. 1 ch. 1 CC, lorsque le juge constate que la suspension de la vie commune est fondée, il fixe la contribution pécuniaire à verser par un époux à l'autre.</w:t>
      </w:r>
    </w:p>
    <w:p>
      <w:r>
        <w:rPr>
          <w:b/>
        </w:rPr>
        <w:t>E. 5.1.1</w:t>
      </w:r>
    </w:p>
    <w:p>
      <w:r>
        <w:t>Le principe et le montant de la contribution d'entretien due selon l'art. 176 al. 1 ch. 1 CC se déterminent en fonction des facultés économiques et des besoins respectifs des époux. Même lorsqu'on ne peut plus sérieusement compter sur une</w:t>
      </w:r>
    </w:p>
    <w:p>
      <w:r>
        <w:t>- 8/13 -</w:t>
      </w:r>
    </w:p>
    <w:p>
      <w:r>
        <w:t>C/11765/2023 reprise de la vie commune, l'art. 163 CC constitue la cause de l'obligation d'entretien (ATF 145 III 169 consid. 3.6; 140 III 337 consid. 4.2.1; 138 III 97 consid. 2.2; arrêts du Tribunal fédéral 5A_255/2022 du 6 juillet 2023 consid. 3.1; 5A_935/2021 du 19 décembre 2022 consid. 3.1).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(ATF 147 III 293 consid. 4.4; 140 III 337 précité consid. 4.2.1; 137 III 385 précité consid. 3.1, précisant l'arrêt paru aux ATF 128 III 65; arrêts du Tribunal fédéral 5A_884/2022, 5A_889/2022 du 14 septembre 2023 consid. 8.2.1; 5A_935/2021 du 19 décembre 2022 consid. 3.1; 5A_554/2021 du 11 mai 2022 consid. 8.1).</w:t>
      </w:r>
    </w:p>
    <w:p>
      <w:r>
        <w:rPr>
          <w:b/>
        </w:rPr>
        <w:t>E. 5.1.2</w:t>
      </w:r>
    </w:p>
    <w:p>
      <w:r>
        <w:t>Si, durant le mariage, les époux étaient convenus d'une indépendance totale, chacun d'eux subvenant à ses propres besoins et vivant en tous points de manière autonome par rapport à l'autre, l'octroi d'une contribution d'entretien ne se justifie en principe pas, vu l'absence de train de vie commun. Dans ce cas, la séparation ne crée pas non plus une situation nouvelle justifiant de modifier la convention passée durant le mariage. Tel est notamment le cas lorsque les époux n'ont jamais ou seulement très brièvement vécu ensemble, qu'ils n'ont pas constitué de communauté de vie, sous quelque forme que ce soit, et qu'aucun d'eux n'a contribué, en espèce ou en nature, à l'entretien de l'autre (ATF 137 III 385 consid. 3.2 [concernant le mariage fictif]; arrêts du Tribunal fédéral 5A_935/2021 du 19 décembre 2022 consid. 3.1, 5A_427/2020 du 6 octobre 2020 consid. 5.2, in</w:t>
      </w:r>
    </w:p>
    <w:p>
      <w:r>
        <w:t>- 9/13 -</w:t>
      </w:r>
    </w:p>
    <w:p>
      <w:r>
        <w:t>C/11765/2023 FamPra.ch 2021 p. 117 ss; 5A_262/2019 du 30 septembre 2019 consid. 7.1, in FamPra.ch 2020 p. 183 ss, et les références; BRUNNER, in Handbuch des Unterhaltsrechts, 2e éd. 2010, p. 176 § 04.07 ["absence de niveau de vie commun"; voir aussi: arrêt du Tribunal fédéral 5A_409/2015 du 13 août 2015 consid. 3.4 [concernant le partage de l'excédent]).</w:t>
      </w:r>
    </w:p>
    <w:p>
      <w:r>
        <w:rPr>
          <w:b/>
        </w:rPr>
        <w:t>E. 5.2.1</w:t>
      </w:r>
    </w:p>
    <w:p>
      <w:r>
        <w:t>En l'espèce, l'appelant reproche à raison au premier juge d'avoir considéré que l'intimée avait en tout état le droit de participer au bénéfice de son époux. Il convenait au contraire de déterminer le contenu de la convention conclue entre les époux, tacitement ou expressément, s'agissant de la répartition des tâches et des ressources dans leur union, le standard de vie choisi d'un commun accord constituant la limite supérieure du droit à l'entretien de l'intimée. A cet égard, il est établi qu'entre leur mariage et leur séparation, les parties ont vécu séparément, l'appelant à Genève et l'intimée à F______ (France), avec sa fille, à l'exception d'une brève période de deux ans, soit pendant la pandémie liée au COVID-19. L'intimée et sa fille sont alors venues vivre dans l'appartement de l'appelant, selon toute vraisemblance davantage en raison des restrictions sanitaires en vigueur que pour former une véritable communauté de vie, que l'intimée n'allègue au demeurant pas valablement. Il est également établi que durant leur union les parties ont vécu indépendamment l'une de l'autre sur le plan financier, dès lors qu'il est admis que l'appelant s'est uniquement acquitté de la prime d'assurance-maladie LAMal de l'intimée, cela jusqu'en 2021, date à laquelle il a interrompu ses paiements. L'intimée n'allègue ni ne rend vraisemblable que l'appelant aurait subvenu à ses besoins du temps de leur relation ou après leur séparation, sous réserve du paiement de ladite assurance. Elle ne rend en particulier pas vraisemblable que l'appelant se serait acquitté de ses charges pendant leur cohabitation à Genève, ce qu'elle n'a d'ailleurs pas soutenu avant la procédure d'appel. Il doit ainsi être retenu que durant leur union, les parties ont principalement vécu séparément, n'ont pas constitué de communauté de vie et avaient convenu d'une indépendance totale l'une de l'autre, sous l'unique réserve du paiement de la prime d'assurance-maladie LAMal de l'intimée par l'appelant. La séparation des parties n'a ainsi pas créé une situation nouvelle justifiant de revoir la convention conclue entre elles, l'intimée n'alléguant pas ni ne rendant vraisemblable le contraire. Il n'y a ainsi en particulier pas lieu de procéder au partage du bénéfice de l'appelant. Il est précisé à cet égard que si l'existence d'un bénéfice de l'appelant et son montant ne sont pas contestés, de même que les revenus et les charges de ce dernier, la situation tant personnelle que financière de l'intimée n'a pas pu être établie et demeure ignorée, celle-ci n'ayant pas collaboré à la procédure, ni en</w:t>
      </w:r>
    </w:p>
    <w:p>
      <w:r>
        <w:t>- 10/13 -</w:t>
      </w:r>
    </w:p>
    <w:p>
      <w:r>
        <w:t>C/11765/2023 première instance, ni en appel. Elle n'a en particulier fourni aucune preuve à l'appui de ses rares allégations, alors même que l'appelant avait indiqué ignorer sa situation et requis la production des pièces permettant de l'établir. C'est ainsi à tort que le Tribunal a considéré comme étant établi que l'intimée ne travaillerait pas, ou encore qu'elle devrait percevoir des prestations d'aide sociale. Au regard des éléments qui précèdent, quand bien même l'appelant a cessé de s'acquitter de la prime d'assurance-maladie de l'intimée dans le courant de l'année 2021, il y a lieu, sur mesures protectrices de l'union conjugale, de maintenir le standard de vie antérieur convenu ensemble par les parties, les ressources de l'appelant étant à cet égard suffisantes. L'intimée est ainsi fondée à obtenir une contribution d'entretien du montant de sa prime d'assurance-maladie LAMal en tant qu'une telle assurance existe, ce qui correspond tant à l'organisation des parties du temps de leur union qu'aux conclusions de l'intimée. Ni l'existence ni le montant de la prime d'assurance-maladie LAMal de l'intimée pour l'année 2022 n'étant litigieux en appel, il convient de retenir que celle-ci s'est élevée à 536 fr. 85 par mois, en lieu et place du montant de 787 fr. 40 retenu par le premier juge, sur la base de la quotité de 2021. L'intimée n'a pas rendu vraisemblable qu'elle bénéficierait toujours d'une telle assurance en 2023, ni au cours de la procédure de première instance, ni en appel, nonobstant les griefs soulevés par l'appelant. Elle aurait pourtant facilement pu rendre vraisemblable le maintien de sa couverture d'assurance pour l'année 2023 ainsi que le montant des primes éventuellement dues. Il n'est en outre pas possible, au regard de son peu de collaboration, de déterminer si elle remplirait actuellement les conditions pour une telle assurance. Partant, en l'absence d'éléments probants, il sera retenu que l'intimée n'a pas rendu vraisemblable s'acquitter d'une prime d'assurance-maladie LAMal depuis le 1er janvier 2023.</w:t>
      </w:r>
    </w:p>
    <w:p>
      <w:r>
        <w:rPr>
          <w:b/>
        </w:rPr>
        <w:t>E. 5.2.2</w:t>
      </w:r>
    </w:p>
    <w:p>
      <w:r>
        <w:t>Le dies a quo de la contribution d'entretien, fixé par le premier juge au 1er juillet 2022 – soit une année avant le dépôt de sa requête par l'appelant – n'ayant pas été contesté, il sera confirmé.</w:t>
      </w:r>
    </w:p>
    <w:p>
      <w:r>
        <w:rPr>
          <w:b/>
        </w:rPr>
        <w:t>E. 5.2.3</w:t>
      </w:r>
    </w:p>
    <w:p>
      <w:r>
        <w:t>L'appelant sera ainsi condamné à verser à l'appelante, pour la période du 1er juillet au 31 décembre 2022, la somme de 540 fr. par mois (montant arrondi) au titre de contribution à son entretien, soit le montant correspondant à sa prime d'assurance-maladie LAMal. A compter du 1er janvier 2023, date à partir de laquelle aucune existence d'assurance-maladie – unique réserve à l'indépendance économique convenue entre les parties – n'a été rendue vraisemblable, aucune contribution d'entretien ne sera due entre les époux.</w:t>
      </w:r>
    </w:p>
    <w:p>
      <w:r>
        <w:t>- 11/13 -</w:t>
      </w:r>
    </w:p>
    <w:p>
      <w:r>
        <w:t>C/11765/2023</w:t>
      </w:r>
    </w:p>
    <w:p>
      <w:r>
        <w:rPr>
          <w:b/>
        </w:rPr>
        <w:t>E. 5.2.4</w:t>
      </w:r>
    </w:p>
    <w:p>
      <w:r>
        <w:t>Le chiffre 3 du dispositif du jugement entrepris sera par conséquent modifié dans le sens qui précède.</w:t>
      </w:r>
    </w:p>
    <w:p>
      <w:r>
        <w:rPr>
          <w:b/>
        </w:rPr>
        <w:t>E. 6.1</w:t>
      </w:r>
    </w:p>
    <w:p>
      <w:r>
        <w:t>Si l'instance d'appel statue à nouveau, elle se prononce sur les frais de la première instance (art. 318 al. 3 CPC). Les frais sont mis à la charge de la partie succombante (art. 106 al. 1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6.2.1 En l'espèce, l'annulation partielle du jugement entrepris ne commande pas de revoir la décision du Tribunal de répartir les frais judiciaires par moitié et de compenser les dépens. Cette décision est conforme à la loi (art. 106 al. 2 et 107 al. 1 let. c CPC) et n'a fait l'objet d'aucun grief motivé devant la Cour, de sorte qu'elle sera confirmée. 6.2.2 Les frais judiciaires de la procédure d'appel, comprenant l'émolument de décision sur mesures provisionnelles, seront arrêtés à 1'500 fr. (art. 31 et 37 RTFMC) et mis à la charge des parties par moitié chacune, vue l'issue et la nature familiale du litige (art. 106 al. 2 et 107 al. 1 let. c CPC). Ils seront compensés à hauteur de 750 fr. avec l'avance versée par l'appelant, qui reste acquise à l'Etat de Genève. L'intimée étant au bénéfice de l'assistance judiciaire, les Services financiers du Pouvoir judiciaire seront invités à restituer à l'appelant 250 fr. à titre de remboursement partiel des frais judiciaires d'appel (art. 111 al. 3 et 122 let. b et c CPC), dont l'Etat de Genève pourra réclamer le remboursement à l'intimée aux conditions de l'art. 123 CPC. Compte tenu de l'issue de la procédure et de la nature familiale du litige, chaque partie supportera ses propres dépens d'appel. * * * * *</w:t>
      </w:r>
    </w:p>
    <w:p>
      <w:r>
        <w:t>- 12/13 -</w:t>
      </w:r>
    </w:p>
    <w:p>
      <w:r>
        <w:t>C/11765/2023 PAR CES MOTIFS, La Chambre civile : A la forme : Déclare recevable l'appel interjeté le 30 octobre 2023 par A______ contre le chiffre 3 du dispositif du jugement JTPI/12129/2023 rendu le 18 octobre 2023 par le Tribunal de première instance dans la cause C/11765/2023. Au fond : Annule le chiffre 3 du dispositif du jugement entrepris et, statuant à nouveau sur ce point: Condamne A______ à verser en mains de B______, la somme de 540 fr. par mois du 1er juillet au 31 décembre 2022. Dit qu'aucune contribution d'entretien n'est due entre les époux à partir du 1er janvier 2023. Confirme le jugement pour le surplus. Déboute les parties de toutes autres conclusions. Sur les frais : Arrête les frais judiciaires d'appel à 1'500 fr., les met à la charge des parties par moitié et les compense avec l'avance fournie par A______ à concurrence de 750 fr., qui reste acquise à l'Etat de Genève dans cette mesure. Invite les Services financiers du Pouvoir judiciaire à restituer 250 fr. à A______ à titre de remboursement partiel des frais judiciaires d'appel.</w:t>
      </w:r>
    </w:p>
    <w:p>
      <w:r>
        <w:t>- 13/13 -</w:t>
      </w:r>
    </w:p>
    <w:p>
      <w:r>
        <w:t>C/11765/2023 Laisse provisoirement à la charge de l'Etat de Genève la part des frais judiciaires mise à la charge de B______, soit 750 fr., sous réserve de remboursement aux conditions de l'art. 123 CPC. Dit que chaque partie supportera ses propres dépens d'appel. Siégeant : Madame Ursula ZEHETBAUER GHAVAMI, présidente; Madame Sylvie DROIN, Monsieur Jean REYMOND, juges; Madame Barbara NEVEUX,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