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ACJC/338/2013 vom 18. März 2013</w:t>
      </w:r>
    </w:p>
    <w:p>
      <w:r>
        <w:t>GE Cour de justice, 2013-03-18, FR</w:t>
      </w:r>
    </w:p>
    <w:p>
      <w:r>
        <w:rPr>
          <w:b/>
        </w:rPr>
        <w:t xml:space="preserve">Quelle: </w:t>
      </w:r>
      <w:r>
        <w:t>https://mcp.opencaselaw.ch/entscheid/ge_gerichte_ACJC_338_2013</w:t>
      </w:r>
    </w:p>
    <w:p>
      <w:r>
        <w:t>FR: GE_GERICHTE ACJC/338/2013 du 18 mars 2013</w:t>
      </w:r>
    </w:p>
    <w:p>
      <w:r>
        <w:t>IT: GE_GERICHTE ACJC/338/2013 del 18 marzo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Ceci vaut pour la procédure en seconde instance. En revanche, la procédure de première instance reste régie par l'ancien droit de procédure (art. 404 al. 1 CPC), soit l'ancienne Loi genevoise de procédure civile du 10 avril 1987 (ci-après : aLPC).</w:t>
      </w:r>
    </w:p>
    <w:p>
      <w:r>
        <w:t>- 7/15 -</w:t>
      </w:r>
    </w:p>
    <w:p>
      <w:r>
        <w:t>C/29718/2010</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9.6.2011 et 4A_189/2011 du 4.7.2011).</w:t>
      </w:r>
    </w:p>
    <w:p>
      <w:r>
        <w:rPr>
          <w:b/>
        </w:rPr>
        <w:t>E. 2.2</w:t>
      </w:r>
    </w:p>
    <w:p>
      <w:r>
        <w:t>En l'espèce, le loyer annuel du logement, charges comprises, et du parking s'élève à 33'588 fr. La procédure cantonale s'achèvera avec l'arrêt que prononcera la Chambre de céans. En prenant en compte la période de trois ans après cet arrêt, la valeur litigieuse est largement supérieure à 10'000 fr. (33'588 fr. x 3 ans = 100'764 fr.).</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w:t>
      </w:r>
    </w:p>
    <w:p>
      <w:r>
        <w:t>- 8/15 -</w:t>
      </w:r>
    </w:p>
    <w:p>
      <w:r>
        <w:t>C/29718/2010</w:t>
      </w:r>
    </w:p>
    <w:p>
      <w:r>
        <w:rPr>
          <w:b/>
        </w:rPr>
        <w:t>E. 3</w:t>
      </w:r>
    </w:p>
    <w:p>
      <w:r>
        <w:t>L'appelante reproche aux premiers juges d'avoir annulé le congé litigieux, en ne tenant pas compte des circonstances du cas d'espèce, soit la volonté de mettre le logement à disposition d'un tiers, à un loyer correspondant au prix du marché démontré par les éléments comparatifs qu'elle avait fournis pour établir les loyers usuels du quartier.</w:t>
      </w:r>
    </w:p>
    <w:p>
      <w:r>
        <w:rPr>
          <w:b/>
        </w:rPr>
        <w:t>E. 3.1</w:t>
      </w:r>
    </w:p>
    <w:p>
      <w:r>
        <w:t>A côté d'une liste d'exemples dans lesquels une résiliation émanant du bail- 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 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(arrêts du Tribunal fédéral 4A_403/2009 consid. 3.1; 4C.61/2005 consid. 4.1, in SJ 2006 I p. 34). Est abusif le congé pure- 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(ACJC/807/2010 du 21 juin 2010 consid. 4.2; LACHAT, Le bail à loyer, Lausanne 2008, p. 463). Il incombe à la partie qui demande l'annulation du congé de prouver qu'il a été donné au mépris de la bonne foi, en particulier que le motif invoqué par le bailleur n'est qu'un prétexte (art. 8 CC; ATF 120 II 105; arrêt du Tribunal fédéral 4C.411/2006 du 9 février 2007). Toutefois, l'expéditeur du congé doit prouver les motifs qu'il invoque à l'appui de celui-ci. Il doit contribuer loyalement à la mani- festation de la vérité, en donnant les raisons de cette mesure (ATF 120 II 105) et en les rendant au moins vraisemblables (arrêt du Tribunal fédéral 4C.411/2006 du 9 février 2007). Si, face à des preuves contradictoires, le juge ne parvient pas à retrouver le véritable motif du congé, il peut considérer ce dernier comme infon- dé, donc annulable (LACHAT, op. cit., p. 738).</w:t>
      </w:r>
    </w:p>
    <w:p>
      <w:r>
        <w:rPr>
          <w:b/>
        </w:rPr>
        <w:t>E. 3.2</w:t>
      </w:r>
    </w:p>
    <w:p>
      <w:r>
        <w:t>Un congé motivé exclusivement par la volonté du bailleur d'obtenir d'un nou- veau locataire un loyer plus élevé que le loyer payé par le locataire dont le bail est résilié ne contrevient en principe pas aux règles de la bonne foi et est licite (arrêts du Tribunal fédéral 4A_448/2009 consid. 2.3; 4A_472/2007 consid. 2.1). Cela étant, pour être admissible, une résiliation dictée par des considérations d'ordre</w:t>
      </w:r>
    </w:p>
    <w:p>
      <w:r>
        <w:t>- 9/15 -</w:t>
      </w:r>
    </w:p>
    <w:p>
      <w:r>
        <w:t>C/29718/2010 économique ne doit pas servir de prétexte à la poursuite d'un but illicite. Il faut donc que le bailleur soit en mesure d'exiger du nouveau locataire un loyer supé- 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 tion ne constituant qu'un prétexte (ATF 120 II 105 consid. 3b/bb; arrêts du Tribunal fédéral 4C.343/2004, in Zeitschrift für schw. Mietrecht 2005 p. 100, consid. 3.2; 4C.267/2002,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 taire (arrêt du Tribunal fédéral 4A_472/2007 consid. 2.4).</w:t>
      </w:r>
    </w:p>
    <w:p>
      <w:r>
        <w:rPr>
          <w:b/>
        </w:rPr>
        <w:t>E. 3.3</w:t>
      </w:r>
    </w:p>
    <w:p>
      <w:r>
        <w:t>L'art. 274d al. 3 aCO, abrogé lors de l'entrée en vigueur du CPC, instaurait une maxime inquisitoriale sociale, laquelle ne constituait cependant pas une maxi- me officielle absolue. Le juge ne devait pas instruire d'office le litige lorsqu'un plaideur renonce à expliquer sa position, mais il devait interroger les parties et les informer de leur devoir de collaborer à l'instruction et de fournir des preuves. Si des motifs objectifs le conduisaient à soupçonner que les allégations et offres de preuves d'une partie étaient lacunaires, il devait inviter celle-ci à compléter ses moyens. La maxime inquisitoire qui avait cours en droit du bail ne permettait pas d'étendre ad libitum la procédure probatoire en recueillant toutes les preuves pos- sibles; elle n'excluait nullement une appréciation anticipée des preuves, à l'issue de laquelle le juge renonçait à en administrer de supplémentaires parce qu'il disposait déjà des éléments nécessaires pour statuer (ATF 136 III 74 consid. 3.1; 125 III 231 consid. 4a). Au cas où, nonobstant l'application de la maxime d'office (art. 274d al. 3 aCO), un doute subsistait quant à la possibilité de majorer le loyer en cause, le bailleur en supportait les conséquences. En effet, même si le fardeau de la preuve d'un congé contraire aux règles de la bonne foi incombe au demandeur à l'action en annu- lation (art. 8 CC), la partie qui résilie a le devoir de contribuer loyalement à la manifestation de la vérité en fournissant tous les éléments en sa possession néces- saires à la vérification du motif invoqué par elle (arrêts du Tribunal fédéral 4A_472/2007 consid. 2.1; 4C.61/2005, in SJ 2006 I 34 consid. 4.3.2). Lorsque ce motif consiste dans le désir de majorer le loyer, il est normal, et du reste conforme aux prescriptions de l'art. 274d al. 3 aCO, que le bailleur produise toutes les pièces</w:t>
      </w:r>
    </w:p>
    <w:p>
      <w:r>
        <w:t>- 10/15 -</w:t>
      </w:r>
    </w:p>
    <w:p>
      <w:r>
        <w:t>C/29718/2010 pertinentes et, s'il ne le fait pas, qu'il doive se laisser opposer l'absence de preuve du motif de congé allégué par lui (ATF 120 II 105 consid. 3c). On ne saurait déduire de la maxime prévue à l'art. 274d al. 3 aCO le devoir sup- plémentaire du juge de contrôler que la bailleresse a bien rempli chacun des postes de toutes les fiches descriptives produites et de l'interpeller formellement en lui indiquant précisément les postes qui se révèleraient, le cas échéant, encore lacu- naires (arrêt du Tribunal fédéral 4A_379/2009 du 21 octobre 2009, consid. 2.4.2). Il appartenait à la bailleresse de donner toutes les informations requises sur les fiches descriptives (ACJC/471/2010 du 19 avril 2010 consid. 3.1). Dans le choix des preuves proposées, le Tribunal peut marquer sa préférence, en économie de procédure, pour la production de pièces; il n'est pas tenu d'ordonner des enquêtes relativement à des faits qui peuvent être prouvés par pièces (BERTOSSA/GAILLARD/GUYET/SCHMIDT, Commentaire de la loi de procédure civile genevoise, n. 3 ad art. 435 aLPC; ACJC/471/2010 du 19 avril 2010 consid. 3.2). Selon la jurisprudence de la Cour, soit le bailleur produit immédiatement, comme il se doit, le nombre d'exemples suffisant, c'est-à-dire cinq au moins (ATF 123 III 319), soit il en produit un nombre insuffisant, c’est-à-dire moins de cinq. Dans la première hypothèse, le bailleur ne peut exiger de pouvoir formuler une seconde offre de preuve, lorsque la première est jugée non probante. Dans la seconde hypothèse, la maxime inquisitoire impose au juge d’impartir un délai au bailleur pour compléter et produire ses pièces justificatives, ou, mieux, de le convoquer en audience de comparution personnelle en spécifiant expressément sur la convoca- tion qu’il est invité, à cette occasion, à compléter ses allégués et à déposer tout document dont il entend faire état (ACJC/1308/2008 du 3 novembre 2008 consid. 3.1; ACJC/312/2005 du 14 mars 2005). Selon le Tribunal fédéral, l’art. 274d al. 3 aCO commandait au juge d'avertir le bailleur, même lorsqu'il était assisté d'un mandataire, de l'insuffisance des docu- ments produits et, en particulier, de l'inviter à compléter sa documentation con- cernant des logements comparables dans le quartier ou, sinon, à produire les pièces permettant un calcul de rendement de l’appartement, ce d'autant plus lorsqu'il a sollicité la faculté de produire des pièces supplémentaires (arrêt du Tribunal fédéral 4A_214/2007 du 12 novembre 2007 consid. 5).</w:t>
      </w:r>
    </w:p>
    <w:p>
      <w:r>
        <w:rPr>
          <w:b/>
        </w:rPr>
        <w:t>E. 3.4</w:t>
      </w:r>
    </w:p>
    <w:p>
      <w:r>
        <w:t>En l'espèce, et conformément aux principes jurisprudentiels rappelés ci-avant, il appartenait à l'appelante de produire les fiches descriptives complètes et com- portant l'ensemble des éléments de comparaison. L'appelante avait, en effet, large- ment le temps de demander, entre le moment de la résiliation du bail (18 novembre 2010) et le dépôt de la demande au Tribunal des baux et loyers (2 mai 2012), voire jusqu'à la date de son appel (6 novembre 2012), auprès des</w:t>
      </w:r>
    </w:p>
    <w:p>
      <w:r>
        <w:t>- 11/15 -</w:t>
      </w:r>
    </w:p>
    <w:p>
      <w:r>
        <w:t>C/29718/2010 gérances concernées, les informations manquantes, ce qu'elle n'allègue pas avoir fait. Elle n'a également pas davantage déposé devant les premiers juges de conclu- sions motivées ni de pièces complémentaires dans les dix jours précédant l'audien- ce de plaidoiries. La jurisprudence de la Chambre des baux et loyers citée par l'appelante ne lui est d'aucun secours. En effet, ce n'est que dans l'hypothèse où la bailleresse ne produit pas les cinq exemples requis que le Tribunal est tenu de lui impartir un délai pour compléter et produire ses justificatifs. Or, en l'espèce, l'appelante a versé à la pro- cédure six exemples de loyers comparatifs. Elle ne peut en conséquence exiger de formuler des secondes offres de preuve. Les fiches descriptives produites sont propres à établir les éléments nécessaires à la comparaison des logements concernés. Dès lors, le Tribunal pouvait, sans violer la maxime inquisitoriale sociale, ni le droit à la preuve de l'appelante, renoncer à ordonner un transport sur place. L'appelante disposait, en effet, de suffisamment de temps pour recueillir, auprès des gérants concernés, des renseignements quant aux éléments qui lui paraissaient imprécis ou sujets à interprétation. Infondé, le grief de l'appelante sera écarté.</w:t>
      </w:r>
    </w:p>
    <w:p>
      <w:r>
        <w:rPr>
          <w:b/>
        </w:rPr>
        <w:t>E. 4</w:t>
      </w:r>
    </w:p>
    <w:p>
      <w:r>
        <w:t>Il y a dès lors lieu d'examiner si le loyer du logement litigieux est inférieur aux loyers pratiqués dans le quartier, au sens de l'art. 269a let. a CO.</w:t>
      </w:r>
    </w:p>
    <w:p>
      <w:r>
        <w:rPr>
          <w:b/>
        </w:rPr>
        <w:t>E. 4.1</w:t>
      </w:r>
    </w:p>
    <w:p>
      <w:r>
        <w:t>4.1.1. Aux termes de l'art. 269a lit.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Le juge doit procéder à des comparaisons concrètes, à la lumière des critères sus- 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consid. 4a). Cette jurisprudence n'a jamais été renversée par le Tribunal fédéral, qui l'a, au contraire, appliquée à réitérées reprises et encore récemment dans ses arrêts du Tribunal fédéral 4A_295/2010 du 26 juillet 2010 consid. 3.1; 4A_448/2009 du 1er février 2010 consid 2.3. et 4A_412/2009 du 15 décembre 2009 consid. 4.).</w:t>
      </w:r>
    </w:p>
    <w:p>
      <w:r>
        <w:t>- 12/15 -</w:t>
      </w:r>
    </w:p>
    <w:p>
      <w:r>
        <w:t>C/29718/2010 Sont concrètement pris en considération (ATF 123 III 317 cons. 4b) notamment l'équipement et l'état d'entretien d'éléments tels que la toiture et la ferblanterie, l'ascenseur, la chaudière, la buanderie, l'installation électrique, les vitrages, les cuisines et les sanitaires (consid. 4b/bb), le nombre de pièces des logements, voire leur dimension et la répartition des volumes (cons. 4b/cc), le quartier étant, lui, défini non par la seule proximité géographique, mais selon des facteurs tels les infrastructures et installations scolaires et sportives disponibles, la présence de commerces, les facilités de transport, ainsi que l'existence ou l'absence de nuisances telles le bruit extérieur et intérieur ou les odeurs (cons. 4b/dd; exposi- tion au bruit; absence de parking; LACHAT, op. cit., p. 458). En ce qui concerne l'année de construction de l'immeuble abritant les locaux, dont parle l'art. 11 al. 1 OBLF, la jurisprudence a admis qu'une différence de plus de vingt ans ne permet en tout cas pas de ranger deux bâtiments dans la même période de construction (ATF 123 III 317 consid. 4a/aa; arrêts du Tribunal fédéral 4A_448/2009 consid 2.3; 4C.40/2001 consid. 5c/bb). Pour ce qui concerne la surface des locaux considérés, une différence sensible de surface de plus de 17% ne saurait, de l'avis de la Cour de justice, servir de base à la fixation d'un loyer usuel (ACJC/318/1998; SJ 2002 I 434). En outre, la Cour a retenu que les fiches comparatives lacunaires et insuffisamment détaillées ne peuvent servir de base à la fixation d'un loyer usuel; tel sera le cas de l'exemple comparatif qui ne mentionne pas l'identité du propriétaire ou qui ne permet pas d'apprécier l'évolution du loyer considéré selon les variations du taux hypo- thécaire (ACJC/318/1998).</w:t>
      </w:r>
    </w:p>
    <w:p>
      <w:r>
        <w:rPr>
          <w:b/>
        </w:rPr>
        <w:t>E. 4.1.2</w:t>
      </w:r>
    </w:p>
    <w:p>
      <w:r>
        <w:t>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trouvera preneur (LACHAT, op. cit., p. 460 et références citées). Les loyers des appartements ou locaux commerciaux situés dans le même immeu- ble que l'objet en cause ne sauraient être pris en considération, pas plus que d'autres objets propriété du même bailleur (LACHAT, op. cit., p. 460 et références citées). Selon la jurisprudence, le Tribunal fédéral ne compte que pour un seul les logements de comparaison qui dépendent d'un seul bailleur (ATF 123 III 317 consid. 4c/aa). Les loyers de référence ne doivent eux-mêmes pas être abusifs, ce qui implique, si nécessaire, de les adapter en principe aux baisses du taux hypothécaire inter- venues depuis le moment où ils ont été fixés (ATF 136 III 74; 127 III 411 consid. 5a; arrêt du Tribunal fédéral 4A_295/2010 consid. 3.1).</w:t>
      </w:r>
    </w:p>
    <w:p>
      <w:r>
        <w:t>- 13/15 -</w:t>
      </w:r>
    </w:p>
    <w:p>
      <w:r>
        <w:t>C/29718/2010 C'est à la partie qui se prévaut des loyers comparatifs qu'il incombe de fournir des exemples en nombre suffisant, et pour chacun d'eux, des données détaillées quant à l'emplacement, la dimension, l'équipement, l'état d'entretien et l'époque de cons- truction (LACHAT, op. cit., p. 462 et références citées).</w:t>
      </w:r>
    </w:p>
    <w:p>
      <w:r>
        <w:rPr>
          <w:b/>
        </w:rPr>
        <w:t>E. 4.2</w:t>
      </w:r>
    </w:p>
    <w:p>
      <w:r>
        <w:t>En l'espèce, les parties ne s'accordent pas sur la surface du logement, l'appe- lante indiquant 175 m2 et les intimés 142 m2, ni sur l'agencement présent ou non dans la cuisine. Ces éléments peuvent rester indécis, compte tenu des éléments qui vont suivre. Les exemples nos 2 et 3, ainsi que ceux nos 5 et 6 sont respectivement propriétés de la FONDATION G______ et de la FONDATION L______, de sorte qu'il existe une identité de propriétaire. Ainsi, un seul des exemples n° 2 et 3 d'une part, et des nos 5 et 6 d'autre part, peut dès lors être pris en compte, comme exemple comparatif. A ce stade déjà, l'appelante ne dispose que de quatre exemples pouvant être pris en considération, nombre insuffisant au regard de la jurisprudence du Tribunal fédéral. Par ailleurs, l'immeuble litigieux a été construit en 1892 et n'a pas fait l'objet de travaux de rénovations. Or, l'exemple no 4 concerne un immeuble construit en 1906 et rénové en 2007, et les exemples nos 5 et 6 des immeubles construits en 1990. Ces trois éléments doivent être écartés, puisqu'ils concernent des immeubles construits à des périodes différentes (plus de deux décennies). En outre, en retenant la surface alléguée par l'appelante du logement litigieux, celle des exemples nos 2 et 3 est supérieure de plus de 17%, de sorte qu'ils ne sont pas comparables. De plus, ces logements, en excellent état, alors que l'apparte- ment litigieux est qualifié de moyen, disposent tous deux d'une cuisine, de salles de bains et de toilettes récentes, contrairement aux salles d'eau anciennes du loge- ment des intimés. Ces éléments ne peuvent donc pas être pris en considération. Les surfaces des exemples n° 4 à 6 n'ont par ailleurs pas été indiquées. De plus, l'appartement litigieux n'est pas situé dans une zone de verdure, alors que tel est le cas des exemples nos 4 à 6, de sorte que ces derniers ne sont pas compa- rables. Il résulte de ce qui précède que l'appelante n'a pas produit cinq exemples de loyers de logements comparables pouvant être retenus. Par conséquent, elle a échoué à faire la démonstration que l'appartement litigieux pourrait être loué à un tiers à un loyer plus élevé que celui fixé actuellement. Le raisonnement des premiers juges ne prête ainsi pas flanc à la critique, de sorte que c'est à bon droit que les congés notifiés aux intimés le 18 novembre 2010 pour leur appartement et le parking ont été annulés.</w:t>
      </w:r>
    </w:p>
    <w:p>
      <w:r>
        <w:t>- 14/15 -</w:t>
      </w:r>
    </w:p>
    <w:p>
      <w:r>
        <w:t>C/29718/2010 Partant, le jugement entrepris sera intégralement confirmé.</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 * * * *</w:t>
      </w:r>
    </w:p>
    <w:p>
      <w:r>
        <w:t>- 15/15 -</w:t>
      </w:r>
    </w:p>
    <w:p>
      <w:r>
        <w:t>C/29718/2010 PAR CES MOTIFS, La Chambre des baux et loyers : A la forme : Déclare recevable l'appel interjeté le 5 novembre 2012 par SI A______ 25 SA contre le jugement JTBL/1071/2012 rendu le 1er octobre 2012 par le Tribunal des baux et loyers dans la cause C/29718/2010-5-B. Au fond : Confirme le jugement. Dit que la procédure est gratuite. Déboute les parties de toutes autres conclusions. Siégeant : Madame Nathalie LANDRY-BARTHE, présidente; Monsieur Blaise PAGAN et Madame Elena SAMPEDRO, juges; Monsieur Maximilien LÜCKER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