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ACJC/336/2025 vom 6. März 2025</w:t>
      </w:r>
    </w:p>
    <w:p>
      <w:r>
        <w:t>GE Cour de justice, 2025-03-06, FR</w:t>
      </w:r>
    </w:p>
    <w:p>
      <w:r>
        <w:rPr>
          <w:b/>
        </w:rPr>
        <w:t xml:space="preserve">Quelle: </w:t>
      </w:r>
      <w:r>
        <w:t>https://mcp.opencaselaw.ch/entscheid/ge_gerichte_ACJC_336_2025</w:t>
      </w:r>
    </w:p>
    <w:p>
      <w:r>
        <w:t>FR: GE_GERICHTE ACJC/336/2025 du 6 mars 2025</w:t>
      </w:r>
    </w:p>
    <w:p>
      <w:r>
        <w:t>IT: GE_GERICHTE ACJC/336/2025 del 6 marzo 2025</w:t>
      </w:r>
    </w:p>
    <w:p>
      <w:pPr>
        <w:pStyle w:val="Heading2"/>
      </w:pPr>
      <w:r>
        <w:t>Erwägungen</w:t>
      </w:r>
    </w:p>
    <w:p>
      <w:r>
        <w:rPr>
          <w:b/>
        </w:rPr>
        <w:t>E. 1.1</w:t>
      </w:r>
    </w:p>
    <w:p>
      <w:r>
        <w:t>L'appel est recevable pour avoir été interjeté, en temps utile et selon la forme prévue par la loi (art. 311 CPC), contre une décision finale de première instance (art. 308 al. 1 let. a CPC) rendue dans une cause patrimoniale dont la valeur litigieuse est supérieure à 10'000 fr. (art. 308 al. 2 CPC).</w:t>
      </w:r>
    </w:p>
    <w:p>
      <w:r>
        <w:rPr>
          <w:b/>
        </w:rPr>
        <w:t>E. 1.2</w:t>
      </w:r>
    </w:p>
    <w:p>
      <w:r>
        <w:t>La maxime des débats et le principe de disposition sont applicables (art. 55 al. 1 et 58 al. 1 CPC).</w:t>
      </w:r>
    </w:p>
    <w:p>
      <w:r>
        <w:rPr>
          <w:b/>
        </w:rPr>
        <w:t>E. 1.3</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Dans un premier moyen, l'appelante se prévaut de la nullité du contrat. Elle reproche au Tribunal d'avoir constaté que l'intimé avait dissimulé la somme de 90'000 fr. à différentes autorités, violant ainsi plusieurs dispositions de droit public et pénal, sans pour autant retenir l'illicéité du contrat. Selon elle, tant la volonté de l'intimé que l'objet du contrat étaient de nature illicite, le rendant ainsi nul, de sorte qu'une répétition serait exclue en application de l'art. 66 CO.</w:t>
      </w:r>
    </w:p>
    <w:p>
      <w:r>
        <w:t>2.1.1 En vertu de l'art. 20 al. 1 CO, un contrat est nul s'il a pour objet une chose impossible, illicite ou contraire aux mœurs (art. 20 al. 1 CO). Un contrat est illicite lorsque son objet, sa conclusion même ou le but qu'il poursuit contrevient à une norme impérative du droit privé ou public suisse (ATF 143 III 600 consid. 2.8.1; 134 III 438 consid. 2.2; arrêt du Tribunal fédéral 4A_113/2020 du 22 avril 2021 consid. 3.3) Il peut s'agir d’une norme de droit privé – pour autant qu'elle soit impérative ou semi-impérative –, de droit public ou de droit pénal (ATF 134 III 52 consid. 1.1; 117 II 286 consid. 4a).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w:t>
      </w:r>
    </w:p>
    <w:p>
      <w:r>
        <w:t>Selon la jurisprudence, la nullité au sens strict déploie un effet ex tunc. Elle doit être examinée d'office par le juge (ATF 114 II 329 consid. 2b).</w:t>
      </w:r>
    </w:p>
    <w:p>
      <w:r>
        <w:t>- 9/16 -</w:t>
      </w:r>
    </w:p>
    <w:p>
      <w:r>
        <w:t>C/8498/2020 La nullité avec effet ex tunc a pour conséquence que les parties doivent être replacées dans la situation précédant la conclusion du contrat. Prestations et contre-prestations doivent être restituées selon les règles sur la revendication et sur l'enrichissement illégitime, puisque la cause a disparu (GUILLOD/STEPHEN, op. cit., n. 95 ad art. 19-20 CO). 2.1.2 En vertu de l'art. 66 CO, il n’y a pas lieu à répétition de ce qui a été donné en vue d’atteindre un but illicite ou contraire aux mœurs. Toutefois, selon la jurisprudence du Tribunal fédéral, la répétition de prestations n'est exclue d'après cette disposition que lorsque celles-ci visaient à provoquer ou rémunérer un comportement illicite (salaire d'un acte illicite ou immoral) et non si elles ont été faites en exécution du contrat illicite ou contraire aux mœurs (ATF 134 III 438 consid. 3.2; arrêt du Tribunal fédéral 4A_666/2015 du 26 avril 2016 consid. 3.3).</w:t>
      </w:r>
    </w:p>
    <w:p>
      <w:r>
        <w:t>2.2.1 En l'espèce, l'appelante invoque l'illicéité du contrat comme motif de nullité.</w:t>
      </w:r>
    </w:p>
    <w:p>
      <w:r>
        <w:t>Il n'est pas contesté que le contrat, conclu tacitement par les parties en février 2006, portait sur la remise à l'appelante de l'indemnité en dommages et intérêts et tort moral légitimement perçue par l'intimé. Quant au but de la remise de ces fonds, il est établi et admis que l'opération visait à échapper aux créanciers de l'intimé au Portugal, en particulier sa précédente épouse. En revanche, contrairement à ce que soutient l'appelante, on ne peut tenir pour établi qu'au moment de la remise des fonds, l'intimé entendait sciemment dissimuler son argent à d'autres institutions ou autorités afin de percevoir indument des prestations sociales, éluder des dispositions fiscales ou obtenir frauduleusement des avantages. Le témoin G______ a confirmé que le but voulu par l'intimé était uniquement d'échapper à sa précédente épouse, sans évoquer d'autres créanciers ou autorités. Par ailleurs, concernant les prestations sociales, il ressort du dossier que l'intimé percevait déjà sa rente partielle AI depuis plusieurs années, si bien que l'intention que lui porte l'appelante de conclure ledit contrat afin d'obtenir indument des prestations à ce titre ne peut être retenue. Quant aux prestations complémentaires, l'on ignore à quelle date elles ont été demandées, respectivement octroyées. A défaut de tout autre élément, il n'est pas suffisamment démontré, ni corroboré par la chronologie des faits, que le contrat litigieux aurait été conclu dans le but de soustraire le montant aux institutions sociales. De plus, comme l'a relevé à juste titre le Tribunal, le calcul du revenu déterminant pour établir l'éventuel droit aux prestations complémentaires ne tient pas compte des indemnités en capital obtenues à titre de dommages et intérêts en réparation d'un préjudice corporel ou d'un tort moral. On ne saurait dès lors reprocher à l'intimé la dissimulation d'un élément de fortune puisque celui-ci n'avait, en l'occurrence, aucune incidence sur les prestations obtenues (art. 5 de la</w:t>
      </w:r>
    </w:p>
    <w:p>
      <w:r>
        <w:t>- 10/16 -</w:t>
      </w:r>
    </w:p>
    <w:p>
      <w:r>
        <w:t>C/8498/2020 loi cantonale sur les prestations complémentaires cantonales [LPCC : J 4 25]). S'agissant des autorités fiscales, aucun élément probant ne permet d'étayer les propos de l'appelante. Enfin, le fait que l'intimé n'ait, certes, pas annoncé la somme litigieuse aux autorités de poursuites lors du séquestre en 2015 ne permet pas de retenir que le contrat, passé près de neuf ans auparavant, ait été conclu à cette fin. L'intimé a du reste expliqué que s'il n'avait par la suite pas déclaré ce montant, c'était en raison du fait que l'appelante refusait de le lui restituer et qu'il ne pensait par conséquent pas devoir en faire état puisqu'il ne pouvait en disposer librement. Il s'ensuit que les différentes allégations de l'appelante formulées afin d'établir que le contrat a été conclu en vue de dissimuler la somme remise à d'autres personnes que les créanciers situés au Portugal ne trouvent pas d'assise dans le dossier. Reste à déterminer si la conclusion du contrat aux fins d'échapper aux créanciers du Portugal contrevient à une disposition légale. A cet égard, le Tribunal a constaté, à juste titre, que les éventuelles infractions pouvant entrer en ligne de compte, à savoir les art. 163 et 164 CP qui répriment la diminution d'actifs au détriment des créanciers, ne trouvaient en l'occurrence pas application dès lors que ceux-ci ne pouvaient s'appliquer que si le débiteur se trouvait en faillite ou frappé par un acte de défaut de biens au moment des faits, ce qui n'était pas le cas en l'espèce et que, quoi qu'il en soit, ces dispositions n'imposaient pas la nullité de l'acte juridique civil à la base de l'infraction. L'appelante n'élève aucune critique sur ce point. A toutes fins utiles, la Cour fait sien le raisonnement du Tribunal. Par conséquent, le contrat conclu entre les parties ne peut être qualifié d'illicite, faute de contrevenir à une disposition prévoyant la sanction de nullité.</w:t>
      </w:r>
    </w:p>
    <w:p>
      <w:r>
        <w:rPr>
          <w:b/>
        </w:rPr>
        <w:t>E. 2.3</w:t>
      </w:r>
    </w:p>
    <w:p>
      <w:r>
        <w:t>Même s'il fallait considérer que le contrat était illicite, le moyen de l'appelante s'avère, quoi qu'il en soit, infondé.</w:t>
      </w:r>
    </w:p>
    <w:p>
      <w:r>
        <w:t>En effet, la nullité du contrat entraînerait la répétition des prestations et contre- prestations, les parties devant être replacées dans la situation précédant la conclusion du contrat, conformément à la jurisprudence susmentionnée.</w:t>
      </w:r>
    </w:p>
    <w:p>
      <w:r>
        <w:t>C'est en vain que l'appelante tente de soutenir que la répétition serait en l'occurrence exclue en application de l'art. 66 CO. Cette disposition n'a vocation à s'appliquer que si les prestations (ici la remise des fonds) ont été faites pour provoquer ou récompenser un comportement illicite ou contraire aux mœurs (salaire d'un acte illicite ou immoral) et non si elles ont été faites en exécution du contrat illicite ou contraire aux mœurs. Or, l'appelante n'a pas allégué ni a fortiori prouvé que la remise des fonds aurait été effectuée dans le but de l'inciter elle- même à un comportement illicite ou contraire aux mœurs.</w:t>
      </w:r>
    </w:p>
    <w:p>
      <w:r>
        <w:t>- 11/16 -</w:t>
      </w:r>
    </w:p>
    <w:p>
      <w:r>
        <w:t>C/8498/2020</w:t>
      </w:r>
    </w:p>
    <w:p>
      <w:r>
        <w:t>Infondé, ce grief sera rejeté.</w:t>
      </w:r>
    </w:p>
    <w:p>
      <w:r>
        <w:rPr>
          <w:b/>
        </w:rPr>
        <w:t>E. 3</w:t>
      </w:r>
    </w:p>
    <w:p>
      <w:r>
        <w:t>Dans un second moyen, l'appelante conteste la qualification du contrat. Elle soutient que les actes effectués par l'intimé démontrent que ce dernier avait l'intention de se dessaisir de la somme litigieuse, sans intention de la récupérer, ce qui exclut le contrat de dépôt. Elle persiste à affirmer que les fonds ont été remis à titre de donation afin d'en faire bénéficier leur fille.</w:t>
      </w:r>
    </w:p>
    <w:p>
      <w:r>
        <w:rPr>
          <w:b/>
        </w:rPr>
        <w:t>E. 3.1</w:t>
      </w:r>
    </w:p>
    <w:p>
      <w:r>
        <w:t>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arrêt du Tribunal fédéral 4A_339/2020 du 10 juin 2021 consid. 6.2).</w:t>
      </w:r>
    </w:p>
    <w:p>
      <w:r>
        <w:rPr>
          <w:b/>
        </w:rPr>
        <w:t>E. 3.1.1</w:t>
      </w:r>
    </w:p>
    <w:p>
      <w:r>
        <w:t>Le contrat de dépôt, prévu aux art. 472 ss CO, se caractérise par trois obligations prises par le dépositaire: recevoir une chose mobilière individualisée, la garder en lieu sûr et la restituer obligatoirement à la fin du dépôt. La garde, puis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in Commentaire romand CO I, 2021, n. 1 ad art. 472 CO). La loi n’impose aucune forme pour la conclusion du contrat de dépôt, qui peut être conclu expressément ou par actes concluants (BRAIDI/BARBEY, op. cit., n. 14 ad art. 472 CO). Dans le cadre d'un contrat de dépôt, le déposant a le droit de réclamer au dépositaire la restitution de la chose déposée (art. 475 al. 1 CO). Lorsque la chose confiée est une chose fongible, telle une somme d'argent, les règles du dépôt irrégulier s'appliquent; l'art. 481 al. 1 CO institue à charge du dépositaire l'obligation de rendre la même somme que celle reçue (BRAIDI/BARBEY, op. cit., n. 10 ad art. 481 CO). Selon l'art. 475 al. 1 CO, le déposant peut réclamer en tout temps la somme déposée, même si un terme a été fixé pour la durée du dépôt. Cette disposition, qui s'applique au dépôt irrégulier, est de droit impératif (BRAIDI/BARBEY, op. cit., n. 5 ad art. 475 CO et n. 11 ad art. 481 CO).</w:t>
      </w:r>
    </w:p>
    <w:p>
      <w:r>
        <w:t>- 12/16 -</w:t>
      </w:r>
    </w:p>
    <w:p>
      <w:r>
        <w:t>C/8498/2020</w:t>
      </w:r>
    </w:p>
    <w:p>
      <w:r>
        <w:rPr>
          <w:b/>
        </w:rPr>
        <w:t>E. 3.1.2</w:t>
      </w:r>
    </w:p>
    <w:p>
      <w:r>
        <w:t>La donation est un contrat régi par les art. 239 à 252 CO. Il s'agit d'un contrat unilatéral par lequel une personne s'oblige à faire entre vifs une attribution de biens à une autre sans contre-prestation correspondante (art. 239 al. 1 CO).</w:t>
      </w:r>
    </w:p>
    <w:p>
      <w:r>
        <w:t>L'animus donandi est l'élément essentiel de la donation et la cause du contrat: il s'agit de la volonté du donateur de donner de ses biens sans contre-prestation correspondante au moment de la conclusion du contrat ou à un moment ultérieur. En cas de litige, la preuve de l'animus donandi du donateur, déduite de l'ensemble des circonstances, incombe au donataire. L'évaluation à ce sujet est une question de fait. Selon la jurisprudence constante, la volonté de donner ne se présume pas, même entre membres d'une famille (ATF 141 III 53 consid. 5.3.2; arrêts du Tribunal fédéral 5A_636/2016 du 3 juillet 2017 consid. 3.1; 5A_87/2010 du 5 mai 2010 consid. 3.1 et les arrêts cités).</w:t>
      </w:r>
    </w:p>
    <w:p>
      <w:r>
        <w:rPr>
          <w:b/>
        </w:rPr>
        <w:t>E. 3.1.3</w:t>
      </w:r>
    </w:p>
    <w:p>
      <w:r>
        <w:t>A teneur de l'art. 311 al. 1 CPC, il incombe à l'appelant de motiver son appel (ATF 141 III 569 consid. 2.3.3; arrêt du Tribunal fédéral 5A_467/2020 du</w:t>
      </w:r>
    </w:p>
    <w:p>
      <w:r>
        <w:rPr>
          <w:b/>
        </w:rPr>
        <w:t>E. 3.2</w:t>
      </w:r>
    </w:p>
    <w:p>
      <w:r>
        <w:t>En l'espèce, l'appelante se borne à affirmer de manière péremptoire que les actes effectués par l'intimé démontraient sa volonté de se dessaisir des fonds versés sur son compte, de sorte qu'il s'agissait d'une donation subsidiairement d'un trust, ce qu'elle avait déjà longuement expliqué dans ses écritures de première instance. Ce faisant, l'appelante ne formule aucune critique sur le raisonnement</w:t>
      </w:r>
    </w:p>
    <w:p>
      <w:r>
        <w:t>- 13/16 -</w:t>
      </w:r>
    </w:p>
    <w:p>
      <w:r>
        <w:t>C/8498/2020 tenu par le Tribunal, ni sur les éléments sur lesquels le premier juge a fondé sa décision, se contentant de soutenir que celle-ci serait "arbitraire". Ce grief ne répond ainsi pas aux exigences de motivation, telle que prévue par l'art. 311 CPC et s'avère, par conséquent, irrecevable.</w:t>
      </w:r>
    </w:p>
    <w:p>
      <w:r>
        <w:t>Quoi qu'il en soit, la question du but de la remise des fonds a fait l'objet d'une instruction pénale approfondie, au terme de laquelle la thèse de la donation avancée par l'appelante a été écartée. Si la procédure a certes finalement été classée en seconde instance, pour cause de tardiveté du dépôt de la plainte pénale, il a néanmoins été retenu après examen de l'ensemble des éléments de preuve recueillis, que ce soit par le Ministère public, par le Tribunal de police ou encore par la Cour de justice dans le cadre de la fixation des frais, que les fonds avaient été confiés à l'appelante pour qu'elle les conserve, sans qu'ils ne soient destinés à la fille des parties, excluant ainsi toute donation ou trust. Toutes les autorités pénales ont ainsi conclu à une appropriation sans droit des fonds par l'appelante, quand bien même l'infraction ne pouvait être poursuivie faute de plainte pénale déposée en temps utile. Bien que le juge civil ne soit pas lié par les constatations des autorités pénales, la présente procédure n'a pas permis d'aboutir à une autre conclusion. En effet, les déclarations de l'un des témoins entendus devant le Tribunal (l'autre n'ayant pu faire aucune déclaration utile à la résolution du litige) tendent à confirmer la volonté de l'intimé de confier les fonds à l'appelante uniquement dans un but de conservation. Aucun élément au dossier ne permet de penser que l'intimé ait eu l'intention de donner ou de se dessaisir de son argent. Contrairement à l'avis de l'appelante le fait que ce dernier lui ait confié son argent pour échapper à des créanciers ne signifie pas pour autant qu'il avait l'intention de s'en dessaisir définitivement. Il n'est pas davantage démontré que l'intimé ait voulu en faire profiter un seul de ses quatre enfants, ce d'autant plus que les travaux apportés à la maison de l'appelante profitent directement et davantage à cette dernière qu'à la fille des parties. De surcroît, celle-ci n'était pas la seule héritière légale de cette maison, de sorte qu'il apparaît peu crédible que l'intimé ait choisi de favoriser sa fille ainsi que la fille de l'appelante issue d'une précédente relation, au détriment de ses autres enfants.</w:t>
      </w:r>
    </w:p>
    <w:p>
      <w:r>
        <w:t>Dès lors, l'appelante ne parvient pas à démontrer que sa thèse l'emporte sur celle de la décision attaquée et la Cour retiendra, avec le Tribunal, qu'il s'agissait d'un contrat de dépôt. 4. Dans un dernier moyen, l'appelante soutient que la prescription de dix ans applicable au contrat de dépôt serait acquise, prenant comme point de départ la date du 26 mars 2006 correspondant à la date à laquelle elle aurait violé son obligation contractuelle en versant l'argent reçu par l'intimé sur son compte au Portugal.</w:t>
      </w:r>
    </w:p>
    <w:p>
      <w:r>
        <w:t>- 14/16 -</w:t>
      </w:r>
    </w:p>
    <w:p>
      <w:r>
        <w:t>C/8498/2020</w:t>
      </w:r>
    </w:p>
    <w:p>
      <w:r>
        <w:t>4.1 La créance en restitution découlant du contrat de dépôt se prescrit par dix ans et suit les règles habituelles de la prescription des art. 127ss CO (BRAIDI/BARBEY, op. cit., n. 17 ad art. 475-476). Selon la jurisprudence, l'obligation de restituer en cas de garde de valeurs déposées ne prend naissance qu'à la fin du rapport contractuel. Aussi longtemps que le contrat dure, le mandataire ou le dépositaire a l'obligation contractuelle de gérer ou de garder les biens, de sorte que celle de restituer n'existe pas encore, car l'exécution de ces obligations et la restitution des valeurs s'excluent mutuellement. Par conséquent,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(ATF 133 III 37 consid. 3.2 et les nombreuses références doctrinales; 91 II 442 consid. 5b). Dans l'arrêt publié aux ATF 91 II 442, le Tribunal fédéral a expressément écarté la thèse selon laquelle le droit du mandant ou du déposant de réclamer la restitution des valeurs confiées prendrait naissance et commencerait à se prescrire déjà au moment de la remise des valeurs, en raison de ses conséquences choquantes, notamment parce que, si la prescription courait dès ce moment, le mandataire ou le dépositaire pourrait, une fois le délai de dix ans écoulé, conserver par devers lui ces valeurs au mépris des obligations contractuelles assumées pour une plus longue période (cf. ATF 91 II 442 consid. 5b). Il a, en outre, précisé que le fait que le mandataire ou le dépositaire détourne à son profit les valeurs confiées ou qu'il s'en dessaisisse n'entraînait pas sans autre la fin du contrat (ATF 133 III 37 consid. 3.2; 91 II 442 consid. 5c).</w:t>
      </w:r>
    </w:p>
    <w:p>
      <w:r>
        <w:t>4.2 En l'espèce, le Tribunal a retenu que le contrat avait été résilié en avril 2010, lorsque l'intimé avait exigé le remboursement des fonds litigieux, sans que les parties ne critiquent ce point. L'intimé ne s'est, en effet, jamais préoccupé des fonds jusqu'à cette date, ce qui laisse supposer que le dépôt n'avait pas été résilié dans l'intervalle. Contrairement à l'avis de l'appelante, la prescription de l'action en restitution de l'intimé n'a pas commencé à courir en 2006, lorsqu'elle a transféré les fonds au Portugal. Conformément à la jurisprudence applicable en matière de dépôt, la prescription ne peut commencer à courir avant la fin des rapports contractuels, soit ici en avril 2010. Entre 2006 et 2010, l'appelante avait toujours l'obligation de conserver les fonds confiés en exécution du contrat. Le fait qu'elle ait transféré les valeurs confiées et les ait investies à l'étranger n'a aucune incidence sur la fin du contrat et, partant, sur le point de départ de la prescription.</w:t>
      </w:r>
    </w:p>
    <w:p>
      <w:r>
        <w:t>Ainsi, au moment de l'introduction de la présente procédure, le 22 avril 2019, la prescription décennale prévue à l'art. 127 CO n'était pas échue.</w:t>
      </w:r>
    </w:p>
    <w:p>
      <w:r>
        <w:t>- 15/16 -</w:t>
      </w:r>
    </w:p>
    <w:p>
      <w:r>
        <w:t>C/8498/2020</w:t>
      </w:r>
    </w:p>
    <w:p>
      <w:r>
        <w:t>L'appel, infondé, sera rejeté sur ce point également. 5. Les frais judiciaires d'appel seront arrêtés à 4'500 fr. (art. 17 et 35 RTFMC), mis à la charge de l'appelante, qui succombe (art. 106 al. 1 CPC), et entièrement compensés avec l'avance de montant qu'elle a fournie, qui reste acquise à l'Etat de Genève (art. 111 al. 1 CPC en relation avec l'art. 407f CPC). L'appelante sera, en outre, condamnée aux dépens de sa partie adverse, lesquels seront arrêtés à 4'000 fr., TVA et débours compris (art. 84, 85 al. 1, et 90 RTFMC). * * * * *</w:t>
      </w:r>
    </w:p>
    <w:p>
      <w:r>
        <w:t>- 16/16 -</w:t>
      </w:r>
    </w:p>
    <w:p>
      <w:r>
        <w:t>C/8498/2020 PAR CES MOTIFS, La Chambre civile : A la forme : Déclare recevable l'appel interjeté le 22 avril 2024 par A______ contre le jugement JTPI/3146/2024 rendu le 5 mars 2024 par le Tribunal de première instance dans la cause C/8498/2020. Au fond : Confirme ce jugement. Déboute les parties de toutes autres conclusions. Sur les frais : Arrête les frais judiciaires d'appel à 4'500 fr., les met à la charge de A______ et dit qu'ils sont entièrement compensés avec l'avance fournie, qui reste acquise à l'Etat de Genève. Condamne A______ à verser 4'000 fr. à B______ à titre de dépens d'appel. Siégeant : Madame Stéphanie MUSY, présidente; Monsieur Cédric-Laurent MICHEL, Madame Paola CAMPOMAGNANI, juges; Madame Sandra CARRIER, greffière. La présidente : Stéphanie MUSY</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2020 consid. 4.4). Pour satisfaire à cette obligation de motivation, l'appelant doit démontrer le caractère erroné de la motivation de la décision attaquée par une argumentation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4A_168/2022 du 10 juin 2022 consid. 5.2; 4A_624/2021 du 8 avril 2022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