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ACJC/336/2024 vom 21. Dezember 2022</w:t>
      </w:r>
    </w:p>
    <w:p>
      <w:r>
        <w:t>GE Cour de justice, 2022-12-21, FR</w:t>
      </w:r>
    </w:p>
    <w:p>
      <w:r>
        <w:rPr>
          <w:b/>
        </w:rPr>
        <w:t xml:space="preserve">Quelle: </w:t>
      </w:r>
      <w:r>
        <w:t>https://mcp.opencaselaw.ch/entscheid/ge_gerichte_ACJC_336_2024</w:t>
      </w:r>
    </w:p>
    <w:p>
      <w:r>
        <w:t>FR: GE_GERICHTE ACJC/336/2024 du 21 décembre 2022</w:t>
      </w:r>
    </w:p>
    <w:p>
      <w:r>
        <w:t>IT: GE_GERICHTE ACJC/336/2024 del 21 dicembre 2022</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En l'espèce, le jugement entrepris est une décision finale et la valeur litigieuse est supérieure à 10'000 fr. La voie de l'appel est dès lors ouverte.</w:t>
      </w:r>
    </w:p>
    <w:p>
      <w:r>
        <w:rPr>
          <w:b/>
        </w:rPr>
        <w:t>E. 1.2</w:t>
      </w:r>
    </w:p>
    <w:p>
      <w:r>
        <w:t>Interjeté dans le délai et les formes prescrits par la loi (art. 130, 131, 142 al. 1, et 311 al. 1 CPC) auprès de l'autorité compétente (art. 120 al. 1 let. a LOJ), l'appel est recevable.</w:t>
      </w:r>
    </w:p>
    <w:p>
      <w:r>
        <w:rPr>
          <w:b/>
        </w:rPr>
        <w:t>E. 1.3</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procédure simplifiée est applicable dès lors que la valeur litigieuse est inférieure à 30'000 francs (art. 243 al. CPC).</w:t>
      </w:r>
    </w:p>
    <w:p>
      <w:r>
        <w:rPr>
          <w:b/>
        </w:rPr>
        <w:t>E. 1.5</w:t>
      </w:r>
    </w:p>
    <w:p>
      <w:r>
        <w:t>La maxime des débats et le principe de disposition (art. 55 al. 1 et art. 58 al. 1 CPC) sont applicables, les hypothèses prévues à l'art. 247 al. 2 CPC n'entrant pas en considération en l'espèce.</w:t>
      </w:r>
    </w:p>
    <w:p>
      <w:r>
        <w:rPr>
          <w:b/>
        </w:rPr>
        <w:t>E. 2</w:t>
      </w:r>
    </w:p>
    <w:p>
      <w:r>
        <w:t>L'appelant reproche au Tribunal d'avoir considéré qu'il avait failli dans son fardeau de l'allégation. Il soutient que le Tribunal disposait des éléments factuels nécessaires pour statuer lorsqu'il a gardé la cause à juger; il aurait donc dû en tenir compte.</w:t>
      </w:r>
    </w:p>
    <w:p>
      <w:r>
        <w:t>- 7/15 -</w:t>
      </w:r>
    </w:p>
    <w:p>
      <w:r>
        <w:t>C/3383/2021 Dans son acte d'appel, l'appelant a précisé ses allégués 2.12 à 2.15 de la demande. Il a donné des exemples de dépenses personnelles de l'intimée figurant dans la comptabilité de C______ SARL (achat de vêtements de marques, voyages à l'étranger, restaurants gastronomiques, etc.) qui "apparaissaient immédiatement à la consultation de la pièce 9" produite avec la demande. Il a désigné les créances de la société que l'intimée aurait dû, selon lui, recouvrer, soit un montant total de 112'443 fr. 45 dû par des clients au 31 décembre 2017, amorti à concurrence de 95'151 fr. 10 dans les comptes 2018, sans aucune tentative de recouvrement, ce qui apparaissait à la lecture concomitante des pièces 10 dem. et 8 déf., ainsi que de la pièce 9 déf., page 6. Finalement, il a soutenu que la lecture des pièces 10 dem et 8 déf. permettait de constater que la société était surendettée au 31 décembre 2017, voire au 31 décembre 2016, puisque sa comptabilité présentait des pertes de 77'000 fr. 2016, 300'000 fr. en 2017 et 300'000 en 2018, soit, "par la force des choses", un dommage mensuel de 25'000 fr. par mois en 2017 et 2018, supérieur à la créance de l'appelant. 2.1.1 Lorsque la maxime des débats est applicable,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art. 55 al. 1 CPC;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2.1.2 Lorsque la procédure simplifiée est applicable, la demande simplifiée doit notamment contenir les conclusions et la description de l'objet du litige (art. 244 al. 1 let. b et c), mais pas nécessairement une motivation (art. 244 al. 2). Le</w:t>
      </w:r>
    </w:p>
    <w:p>
      <w:r>
        <w:t>- 8/15 -</w:t>
      </w:r>
    </w:p>
    <w:p>
      <w:r>
        <w:t>C/3383/2021 justiciable est donc dispensé de présenter dans la demande simplifiée des allégations de fait assorties d'offres de preuve. La phase des allégations peut se dérouler oralement, c'est-à-dire à l'audience, cas échéant avec l'aide du juge (arrêt du Tribunal fédéral 4D_57/2013 du 2 décembre 2013 consid. 3.2). Autrement dit, si le justiciable est dispensé de présenter dans la demande simplifiée des allégations de fait assorties d'offres de preuves, il doit formuler ses allégués ultérieurement oralement à l'audience (ACJC/1776/2019 du 29 novembre 2019 consid. 3.2 confirmé par l'arrêt du Tribunal fédéral 5D_17/2020 du 16 avril 2020 consid. 4.2). L'art. 247 al. 1 CPC impose au juge d'amener les parties, par des questions appropriées, à compléter les allégations insuffisantes et à désigner les moyens de preuve. Ainsi, la procédure simplifiée ne dispense pas les parties du devoir d'alléguer les faits, oralement ou par écrit, cas échéant avec l'aide du juge, du moins dans l'hypothèse générale de l'art. 247 al. 1 CPC (arrêt du Tribunal fédéral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(arrêts du Tribunal fédéral 4D_57/2013 précité consid. 3.2 et 5D_17/2020 du 16 avril 2020 consid. 4.2). Il n'y a pas de formalisme excessif à ne pas tenir compte de faits non allégués découlant de pièces produites - à la différence du cas d'une allégation topique mais un peu trop générale, que le juge pourrait être amené à faire préciser (cf. art. 247 al. 1 CPC). En effet, la procédure simplifiée n'implique pas que le juge doive se plonger dans les pièces du dossier pour tenter d'y trouver des faits, d'autant moins lorsque la cause ne relève pas de la maxime inquisitoire prévue à l'art. 247 al. 2 CPC (arrêts du Tribunal fédéral 4D_57/2013 précité consid. 3.3 et 4D_76/2020 du 2 juin 2021 consid. 5.3). 2.1.3 Selon l'art. 317 al. 1 CPC, les faits et les moyens de preuve nouveaux ne sont pris en considération en appel que s'ils sont invoqués ou produits sans retard</w:t>
      </w:r>
    </w:p>
    <w:p>
      <w:r>
        <w:t>- 9/15 -</w:t>
      </w:r>
    </w:p>
    <w:p>
      <w:r>
        <w:t>C/3383/2021 (let. a) et s'ils ne pouvaient pas l'être devant la première instance bien que la partie qui s'en prévaut ait fait preuve de diligence (let. b). Cette règle signifie que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(ATF 142 III 413 consid. 2.2.2; arrêt du Tribunal fédéral 5A_202/2022 du 24 mai 2023 consid. 3.1). S'agissant des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arrêt du Tribunal fédéral 5A_202/2022 précité). Lorsque l'invocation des faits ou la production de moyens de preuve nouveaux dépendent de la seule volonté d'une partie, ils ne peuvent être considérés comme des vrais nova (sur ces nova potestatifs cf. ATF 146 III 416 consid. 5.3; arrêt du Tribunal fédéral 4A_76/2019 du 15 juillet 2020 consid. 8.1.2). Lorsque le procès est soumis à la maxime des débats (art. 55 al. 1 CPC), les parties ne peuvent présenter des faits et moyens nouveaux que si les conditions strictes de l'art. 317 al. 1 CPC sont réunies (ATF 144 III 349 consid. 4.2.1; arrêt du Tribunal fédéral 5A_202/2022 du 24 mai 2023 consid. 3.1). 2.1.4 Les gérants ainsi que les tiers chargés de la gestion doivent exercer leurs attributions avec toute la diligence nécessaire et veillent fidèlement aux intérêts de la société (art. 812 al. 1 CO).</w:t>
      </w:r>
    </w:p>
    <w:p>
      <w:r>
        <w:t>L'article 812 CO oblige les membres de l’organe de gestion à faire preuve de diligence dans l’exécution de leur mandat et leur impose de promouvoir l’intérêt social et de faire passer celui-ci avant leur intérêt personnel ou celui de tiers (devoir de fidélité) (BUCHWALDER, Commentaire romand, CO II, 2017, n. 1 ad art. 812 CO). Les gérants d'une société à responsabilité limitée doivent également informer le juge en cas de surendettement de la société (art. 810 al. 2 ch. 7 CO).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(art. 827 CO). Aux termes de l’art. 754 al. 1 CO, les membres du conseil d’administration et toutes les personnes qui s’occupent de la gestion ou de la liquidation répondent à</w:t>
      </w:r>
    </w:p>
    <w:p>
      <w:r>
        <w:t>- 10/15 -</w:t>
      </w:r>
    </w:p>
    <w:p>
      <w:r>
        <w:t>C/3383/2021 l’égard de la société, de même qu’envers chaque actionnaire ou créancier social, du dommage qu’ils leur causent en manquant intentionnellement ou par négligence à leurs devoirs. La responsabilité des administrateurs est subordonnée à la réunion des quatre conditions générales suivantes, à savoir un manquement par l'organe à ses devoirs, une faute (intentionnelle ou par négligence), un dommage et un lien de causalité naturelle et adéquate entre le manquement et le dommage (ATF 132 III 342 consid. 4.1; arrêt du Tribunal fédéral 4A_133/2021 du 26 octobre 2021 consid. 7.1 et les arrêts cités). Il appartient au demandeur à l'action en responsabilité de prouver la réalisation de ces conditions (art. 8 CC), qui sont cumulatives (ATF 136 III 148 consid. 2.3; arrêt du Tribunal fédéral 4A_133/2021 du 26 octobre 2021 consid. 7.1 et les arrêts cités). Lorsqu'il s'agit de déterminer le dommage que les organes ont causé à la société en tardant de manière fautive à aviser le juge de l'état de surendettement (art. 725 al. 2 CO), il y a lieu de comparer, conformément à la théorie de la différence, le montant actuel du patrimoine du lésé et le montant qu'aurait ce même patrimoine si l'événement dommageable ne s'était pas produit. Le dommage de la société consiste dans l'augmentation du découvert entre le moment où la faillite aurait été prononcée si l'administrateur n'avait pas manqué à ses devoirs – soit le moment où l'administrateur avait des "raisons sérieuses d'admettre que la société [était] surendettée" – et le moment (impliquant une perte supérieure) où la faillite a effectivement été prononcée (ATF 136 III 322 consid. 3.2; arrêt du Tribunal fédéral 4A_188/2022 du 20 septembre 2022 consid. 6.1.1). Le demandeur qui exerce l'action sociale en réparation du dommage causé à la société elle-même (quand bien même il a choisi de se limiter au montant de son propre découvert) a la charge d'alléguer et de démontrer l'aggravation de la situation financière de la société, soit d'alléguer et d'établir, à la valeur de liquidation, l'état du patrimoine de cette société aux deux dates déterminantes. Si le demandeur ne parvient pas à établir le dommage, le juge doit, en application de l'article 8 CC, statuer à son détriment (ATF 132 III 689; 126 III 189; arrêt du Tribunal fédéral 4A_188/2022 du 20 septembre 2022 consid. 6.1.2). 2.1.5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w:t>
      </w:r>
    </w:p>
    <w:p>
      <w:r>
        <w:t>- 11/15 -</w:t>
      </w:r>
    </w:p>
    <w:p>
      <w:r>
        <w:t>C/3383/2021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w:t>
      </w:r>
    </w:p>
    <w:p>
      <w:r>
        <w:rPr>
          <w:b/>
        </w:rPr>
        <w:t>E. 4</w:t>
      </w:r>
    </w:p>
    <w:p>
      <w:r>
        <w:t>octobre 2017 consid. 4.1.3; 4A_214/2015 cité consid. 3.3; 4A_691/2014 du 1er avril 2015 consid. 6). 2.2.1 En l'espèce, il n'est pas contesté que la procédure simplifiée et que la maxime de débats sont applicables. C'est à tort que l'appelant reproche au Tribunal d'avoir exigé de lui qu'il dépose une demande répondant aux conditions de l'art. 221 al. 1 let. d (la demande contient les allégations de fait) et let. e (la demande contient l'indication, pour chaque allégation, des moyens de preuves proposés) CPC, norme qui ne serait pas applicable en procédure simplifiée. Le Tribunal a reproché à l'appelant de ne pas avoir précisé ses allégations ultérieurement alors que l'intimée avait contesté les faits énoncés dans la demande. A juste titre, l'appelant plaide que, compte tenu de l'application de la procédure simplifiée, il pouvait se limiter à indiquer dans la demande que l'intimée avait commis des actes de mauvaise gestion, soit des dépenses personnelles effectuées avec les avoirs de la société et l'abandon de créances. Il omet toutefois de tenir compte du fait que si les exigences de recevabilité de la demande connaissent des allégements formels, la maxime des débats reste applicable de sorte qu'il devait se conformer au fardeau de l'allégation des faits, en exposant ultérieurement les faits précis sur lesquels il fondait ses prétentions, ce d'autant plus que l'intimée avait contesté ceux exposés dans la demande. Or, dans ses griefs d'appel, l'appelant ne prétend pas avoir valablement remédié aux carences de sa demande en première instance, alors qu'il aurait été en mesure de le faire, puisqu'il a pu y procéder, mais tardivement, dans son écriture d'appel. Notamment, l'appelant ne peut se prévaloir des quelques précisions apportées dans ses déterminations du 26 avril 2022 pour soutenir qu'il aurait réparé les lacunes de sa demande; dans ces déterminations, l'appelant se limite à exposer que le déficit du seul restaurant aurait permis de retenir que la société était surendettée; or, l'extraction de quelques chiffres des comptes de la faillite, correspondant à un secteur d'activité – alors que la société déploie une activité de production et de commercialisation de pâtes, d'une part, et exploite un restaurant, d'autre part –, n'est pas représentatif de l'équilibre de ses comptes pris dans leur ensemble; les déficits d'un secteur peuvent être compensés par les bons résultats d'un autre. Les compléments apportés dans les déterminations du 26 avril 2022 ne permettent donc pas de retenir que la demande aurait été complétée à satisfaction. Par ailleurs, l'appelant ne pouvait pas, comme il le plaide, se limiter à renvoyer aux pièces produites en annexe et laisser au Tribunal la charge de rechercher,</w:t>
      </w:r>
    </w:p>
    <w:p>
      <w:r>
        <w:t>- 12/15 -</w:t>
      </w:r>
    </w:p>
    <w:p>
      <w:r>
        <w:t>C/3383/2021 parmi toutes les transactions figurant dans la comptabilité de la faillie, lesquelles relevaient des dépenses personnelles de l'intimée et lesquelles étaient des créances de la société qui auraient dû être recouvrées. Par conséquent, c'est à bon droit que le premier juge a considéré que l'appelant avait failli dans son devoir d'alléguer les faits constitutifs de la violation par l'intimée de son devoir de diligence. On relèvera par surabondance que l'appelant n'a également pas allégué, ni prouvé, quel serait le montant du dommage découlant de la violation par l'intimée de son devoir de diligence. En raison du fait qu'il était assisté d'un avocat, le devoir d'interpellation accru du Tribunal prévu par l'art. 247 al. 1 CPC n'avait qu'une portée restreinte vis-à-vis de l'appelant. C'est donc à juste titre que le premier juge a implicitement considéré que l'avocat de l'appelant avait les connaissances nécessaires pour conduire le procès et faire des allégations et offres de preuves complètes, dans sa demande simplifiée ou ultérieurement oralement ou par écrit, et qu'il ne lui incombait pas d'interpeller l'appelant pour qu'il comble les lacunes dans ses allégations et offres de preuve. 2.2.2 S'agissant de la preuve du dommage résultant de la violation par l'intimée de son obligation d'aviser le Tribunal du surendettement de la société, l'appelant considère qu'il aurait été contraire au but de la procédure simplifiée d'exiger de lui qu'il requiert une expertise comptable dispendieuse pour démontrer l'existence et la quotité du dommage subi par la société, alors qu'il n'avait conclu qu'au paiement du montant de sa créance, soit un peu plus de 10'000 fr. Comme déjà indiqué, la procédure simplifiée soumise à la maxime de débats ne dispensait pas l'appelant d'alléguer et d'offrir les moyens de preuve des faits pertinents. C'est donc à juste titre que le Tribunal a retenu que l'appelant n'avait pas allégué la date à laquelle l'intimée aurait dû aviser le Tribunal du surendettement de la société ni démontré l'ampleur du dommage causé à la société. Par ailleurs, c'est à tort que l'appelant fait valoir qu'il n'était pas nécessaire de réaliser une expertise comptable dans la mesure où l'écoulement du temps aurait causé, "par la force des choses", un dommage à la société, qu'il estimait à 25'000 fr. par mois à la seule lecture des pièces comptables. Il n'appartenait pas au Tribunal d'effectuer un travail de déduction pour établir un dommage que l'appelant n'avait pas allégué. Au surplus, il n'y avait pas lieu de faire application de l'art. 42 al. 2 CO dès lors que l'on pouvait raisonnablement attendre de l'appelant qu'il procède à l'analyse de la comptabilité de la société pour chiffrer le dommage de cette dernière, voire demande qu'une expertise judiciaire soit réalisée</w:t>
      </w:r>
    </w:p>
    <w:p>
      <w:r>
        <w:t>- 13/15 -</w:t>
      </w:r>
    </w:p>
    <w:p>
      <w:r>
        <w:t>C/3383/2021 à cette fin. En tout état, le dommage imputable à l'intimée pour ne pas avoir avisé à temps le juge du surendettement ne correspond pas au montant des pertes éprouvées mensuellement sur deux exercices, comme l'allègue l'appelant, mais à l'accroissement du surendettement entre les deux dates pertinentes, soit la date à laquelle le juge aurait dû être avisé et la date du prononcé de la faillite; l'appelant se trompe donc de calcul de sorte que ses allégués sont sans pertinence pour la détermination du dommage. Par conséquent, c'est également à juste titre que le premier juge a considéré que l'appelant n'avait pas apporté la preuve du dommage éprouvé par la société suite à l'avis tardif de son surendettement par l'intimée. 2.2.3 Finalement, les précisions et compléments d'allégués apportés en appel par l'appelant ne permettent pas de réparer ses carences au cours de la procédure de première instance. Il ne s'agit pas de faits nouveaux au sens de l'art. 317 CPC, puisqu'ils auraient pu et dû être allégués en première instance déjà, conformément aux principes rappelés au consid. 2.1.3 ci-dessus, de sorte qu'ils ne sont pas recevables dans la procédure d'appel. 2.2.4 Au vu de ce qui précède, l'appel sera rejeté et le jugement entrepris confirmé. 3. Les frais judiciaires d'appel seront mis à la charge de l'appelant qui succombe (art. 106 al. 1 CPC). Ils seront fixés à 1'800 fr. (art. 17 et 35 RTFMC) et compensés avec l'avance de même montant fournie par l'appelant, qui reste acquise à l'Etat de Genève (art. 111 al. 1 CPC). L'appelant sera condamné aux dépens d'appel de l'intimée, arrêtés à 1'700 fr., débours et TVA compris (art. 84, 85 et 90 RTFMC; art. 25 et 26 LaCC). Les sûretés de 2'000 fr. versées par l'appelant seront allouées à hauteur de 1'700 fr. à l'intimée afin de couvrir les dépens d'appel, le solde de 300 fr. devant être restitué à l'appelant par les Services financiers du Pouvoir judiciaire. * * * * *</w:t>
      </w:r>
    </w:p>
    <w:p>
      <w:r>
        <w:t>- 14/15 -</w:t>
      </w:r>
    </w:p>
    <w:p>
      <w:r>
        <w:t>C/3383/2021 PAR CES MOTIFS, La Chambre civile : A la forme : Déclare recevable l'appel interjeté le 31 janvier 2023 par A______ contre le jugement JTPI/15238/2022 rendu le 21 décembre 2022 par le Tribunal de première instance dans la cause C/3383/2021. Au fond : Confirme le jugement entrepris. Déboute les parties de toutes autres conclusions. Sur les frais : Arrête les frais judiciaires d'appel à 1'800 fr., les met à la charge de A______ et les compense avec l'avance de frais fournie par lui, laquelle demeure acquise à l'Etat de Genève. Condamne A______ à verser 1'700 fr. à B______ à titre de dépens d'appel. Dit que les sûretés fournies par A______ sont affectées à hauteur de 1'700 fr. au paiement des dépens d'appel dus par celui-ci à B______ et invite les Services financiers du Pouvoir judiciaire à les libérer à concurrence dudit montant en faveur de B______. Invite les Services financiers du Pouvoir judiciaire à restituer à A______ le solde des sûretés en 300 fr. Siégeant : Madame Ursula ZEHETBAUER GHAVAMI, présidente; Madame Nathalie RAPP, Monsieur Jean REYMOND, juges; Madame Camille LESTEVEN, greffière.</w:t>
      </w:r>
    </w:p>
    <w:p>
      <w:r>
        <w:t>- 15/15 -</w:t>
      </w:r>
    </w:p>
    <w:p>
      <w:r>
        <w:t>C/3383/2021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