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ACJC/334/2013 vom 18. März 2013</w:t>
      </w:r>
    </w:p>
    <w:p>
      <w:r>
        <w:t>GE Cour de justice, 2013-03-18, FR</w:t>
      </w:r>
    </w:p>
    <w:p>
      <w:r>
        <w:rPr>
          <w:b/>
        </w:rPr>
        <w:t xml:space="preserve">Quelle: </w:t>
      </w:r>
      <w:r>
        <w:t>https://mcp.opencaselaw.ch/entscheid/ge_gerichte_ACJC_334_2013</w:t>
      </w:r>
    </w:p>
    <w:p>
      <w:r>
        <w:t>FR: GE_GERICHTE ACJC/334/2013 du 18 mars 2013</w:t>
      </w:r>
    </w:p>
    <w:p>
      <w:r>
        <w:t>IT: GE_GERICHTE ACJC/334/2013 del 18 marzo 2013</w:t>
      </w:r>
    </w:p>
    <w:p>
      <w:pPr>
        <w:pStyle w:val="Heading2"/>
      </w:pPr>
      <w:r>
        <w:t>Erwägungen</w:t>
      </w:r>
    </w:p>
    <w:p>
      <w:r>
        <w:rPr>
          <w:b/>
        </w:rPr>
        <w:t>E. 1</w:t>
      </w:r>
    </w:p>
    <w:p>
      <w:r>
        <w:t>L'appel est recevable si la valeur litigieuse au dernier état des conclusions est de 10'000 fr. au moins (art. 308 al. 1 lit. a et al. 2 CPC). 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prévus aux art. 271 ss CO, il convient, sauf exceptions, de prendre en considération la période de protection de trois ans dès la fin de la procédure judiciaire qui est prévue par l'art. 271a al. 1 let. e CO (ATF 137 III 389; ATF 136 III 196). En l'espèce, le loyer mensuel, charges comprises, s'élève à 1'050 fr. Le loyer représente un montant de 37'800 fr. sur une période de 3 ans, de sorte que la voie de l'appel est ouverte.</w:t>
      </w:r>
    </w:p>
    <w:p>
      <w:r>
        <w:rPr>
          <w:b/>
        </w:rPr>
        <w:t>E. 2</w:t>
      </w:r>
    </w:p>
    <w:p>
      <w:r>
        <w:t>Les intimés concluent à l'irrecevabilité de l'appel pour défaut de critique de la motivation subsidiaire retenue par le Tribunal.</w:t>
      </w:r>
    </w:p>
    <w:p>
      <w:r>
        <w:rPr>
          <w:b/>
        </w:rPr>
        <w:t>E. 2.1</w:t>
      </w:r>
    </w:p>
    <w:p>
      <w:r>
        <w:t>L'appel peut être formé pour violation du droit (art. 310 let. a CPC) et consta- tation inexacte des faits (art. 310 let. b CPC). L'instance d'appel dispose ainsi d'un plein pouvoir d'examen de la cause en fait et en droit. En particulier, le juge d'ap- 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 vation attaquée. Pour satisfaire à cette exigence, il ne lui suffit cependant pas de renvoyer aux moyens soulevés en première instance, ni de se livrer à des critiques</w:t>
      </w:r>
    </w:p>
    <w:p>
      <w:r>
        <w:t>- 5/8 -</w:t>
      </w:r>
    </w:p>
    <w:p>
      <w:r>
        <w:t>C/9670/2009 toutes générales de la décision attaquée. Sa motivation doit être suffisamment explicite pour que l'instance d'appel puisse la comprendre aisément, ce qui sup- pose une désignation précise des passages de la décision que le recourant attaque et des pièces du dossier sur lesquelles repose sa critique (ATF 138 III 374 consid. 4.3.1).</w:t>
      </w:r>
    </w:p>
    <w:p>
      <w:r>
        <w:rPr>
          <w:b/>
        </w:rPr>
        <w:t>E. 2.2</w:t>
      </w:r>
    </w:p>
    <w:p>
      <w:r>
        <w:t>En l'occurrence, les appelants critiquent la motivation principale développée par les premiers juges, ce dont ne disconviennent pas les intimés. Cela est suf- fisant pour retenir la recevabilité de l'appel, même si celui-ci ne comporte en effet pas, comme relevé par les intimés, de grief dirigé contre les motifs retenus à titre subsidiaire par le Tribunal. Ainsi, l'appel, formé dans le délai de trente jours prévu par la loi (art. 311 al. 1 CPC), est recevable.</w:t>
      </w:r>
    </w:p>
    <w:p>
      <w:r>
        <w:rPr>
          <w:b/>
        </w:rPr>
        <w:t>E. 3</w:t>
      </w:r>
    </w:p>
    <w:p>
      <w:r>
        <w:t>Les appelants reprochent au Tribunal de ne pas avoir retenu que l'appartement avait été sous-loué, partant qu'ils étaient fondés à opérer une résiliation anticipée du bail.</w:t>
      </w:r>
    </w:p>
    <w:p>
      <w:r>
        <w:rPr>
          <w:b/>
        </w:rPr>
        <w:t>E. 3.1</w:t>
      </w:r>
    </w:p>
    <w:p>
      <w:r>
        <w:t>A teneur de l'art. 257f al. 1 CO, le locataire est tenu d'user de la chose avec le soin nécessaire. L'usage soigneux est défini par le bail et ses annexes, telles des règles et usages locatifs et/ou un règlement de maison (HIGI, commentaire zurichois, no 10 ad art. 257f CO; WEBER, Commentaire bâlois, no 1 ad art. 257f CO; LACHAT, in Commentaire romand, op. cit., no 6 ad art. 257f CO). Pour les baux d'habitations, sauf stipulation contraire, le locataire n'est pas tenu d'occuper lui-même la chose louée (HIGI, op. cit., no 27 ad art. 253 CO; BISANG ET AL., op. cit., no 14 ad art. 257f CO; LACHAT, Le bail à loyer, p. 80). L'usage normal des locaux d'habitation autorise l'hébergement des membres de la famille et des proches du locataire (LACHAT, in Commentaire romand, no 6 ad art. 253 CO et no 6 ad art. 257f CO; BISANG ET AL., Das schweizerische Mietrecht, Kommentar, 3ème éd. 2008, no 13 ad art. 257f CO; ATF 136 III 186 consid. 3.1.2). Lorsque la cession par contrat de l'usage d'une chose est opérée sans aucune contre-prestation - c'est-à-dire à titre gratuit -, les parties concernées sont soumises aux règles du prêt à usage des art. 305 ss CO, et non pas à celles régissant le bail (SCHÄRER/MAURENBRECHER, in Commentaire bâlois, Obligationenrecht, vol. I, 4e éd. 2007, no 3 ad art. 305 CO; TERCIER/FAVRE, Les contrats spé- ciaux, 4e éd. 2009, ch. 1969 p. 290; ATF 136 III 186 consid. 3.2.3).</w:t>
      </w:r>
    </w:p>
    <w:p>
      <w:r>
        <w:rPr>
          <w:b/>
        </w:rPr>
        <w:t>E. 3.2</w:t>
      </w:r>
    </w:p>
    <w:p>
      <w:r>
        <w:t>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w:t>
      </w:r>
    </w:p>
    <w:p>
      <w:r>
        <w:t>- 6/8 -</w:t>
      </w:r>
    </w:p>
    <w:p>
      <w:r>
        <w:t>C/9670/2009 (ATF 120 II 31;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4C.170/2004 du 27 août 2004 consid. 2.1 précité; LACHAT, Le bail à loyer, op. cit., Lausanne 2008, p. 733). Le congé doit être considéré comme abusif s'il ne répond à aucun intérêt objectif, sérieux et digne de protection. Est abusif le congé purement chicanier dont le motif n'est manifestement qu'un prétexte (arrêt du Tribunal fédéral 4C.411/2006 du 9 février 2007, consid. 2.1).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 merciaux, thèse Genève 1991, no 290 et 319; Commentaire USPI, no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Par ailleurs, le bien-fondé de la résiliation doit être apprécié au moment où son auteur manifeste sa volonté de mettre un terme au contrat (DB 2006 p. 42; LACHAT, Commentaire romand, no 12 ad art. 271 CO).</w:t>
      </w:r>
    </w:p>
    <w:p>
      <w:r>
        <w:rPr>
          <w:b/>
        </w:rPr>
        <w:t>E. 3.3</w:t>
      </w:r>
    </w:p>
    <w:p>
      <w:r>
        <w:t>En l'espèce, il n'est pas contesté par les appelants qu'au moment de la résilia- tion du contrat, le 17 février 2009, le loyer était acquitté par la locataire, et non par son fils et la famille de celui-ci, dont rien n'indique qu'ils auraient eux-mêmes versé à la locataire une contre-prestation pour l'usage de la chose. Il s'ensuit que leur hébergement s'est fait à titre gratuit, ce qui exclut l'application des règles du bail. Par ailleurs, le bail ne contenait pas de stipulation particulière commandant que la locataire occupe elle-même la chose louée, de sorte qu'il est indifférent de savoir si la locataire avait quitté ou non à titre définitif le logement loué, en 2008 ou 2009. Le Tribunal a dès lors retenu à raison qu'il n'existait pas de sous-location au mo- ment de la notification du congé.</w:t>
      </w:r>
    </w:p>
    <w:p>
      <w:r>
        <w:t>- 7/8 -</w:t>
      </w:r>
    </w:p>
    <w:p>
      <w:r>
        <w:t>C/9670/2009 Les appelants ne se prévalent que de cette prétendue existence d'une sous-location pour fonder le congé qu'ils ont signifié, au demeurant sans respecter l'échéance de la mise en demeure qu'ils avaient eux-mêmes déterminée. Il résulte de ce qui précède que ce motif n'est pas légitime, ce qui a pour consé- quence de rendre la résiliation annulable. Le jugement entrepris, qui a annulé le congé notifié le 17 février 2009, sera dès lors confirmé.</w:t>
      </w:r>
    </w:p>
    <w:p>
      <w:r>
        <w:rPr>
          <w:b/>
        </w:rPr>
        <w:t>E. 4</w:t>
      </w:r>
    </w:p>
    <w:p>
      <w:r>
        <w:t>La procédure est gratuite (art. 22 al. 1 LaCC). * * * * *</w:t>
      </w:r>
    </w:p>
    <w:p>
      <w:r>
        <w:t>- 8/8 -</w:t>
      </w:r>
    </w:p>
    <w:p>
      <w:r>
        <w:t>C/9670/2009 PAR CES MOTIFS, La Chambre des baux et loyers : A la forme : Déclare recevable l'appel formé par A______, B______, C______ et D______ contre le jugement JTBL/878/2012 rendu le 28 août 2012 par le Tribunal des baux et loyers dans la cause C/9670/2009-3-B. Au fond : Confirme ce jugement.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