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ACJC/333/2019 vom 28. Februar 2019</w:t>
      </w:r>
    </w:p>
    <w:p>
      <w:r>
        <w:t>GE Cour de justice, 2019-02-28, FR</w:t>
      </w:r>
    </w:p>
    <w:p>
      <w:r>
        <w:rPr>
          <w:b/>
        </w:rPr>
        <w:t xml:space="preserve">Quelle: </w:t>
      </w:r>
      <w:r>
        <w:t>https://mcp.opencaselaw.ch/entscheid/ge_gerichte_ACJC_333_2019</w:t>
      </w:r>
    </w:p>
    <w:p>
      <w:r>
        <w:t>FR: GE_GERICHTE ACJC/333/2019 du 28 février 2019</w:t>
      </w:r>
    </w:p>
    <w:p>
      <w:r>
        <w:t>IT: GE_GERICHTE ACJC/333/2019 del 28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4C_310/1996 du 16 avril 1997 = SJ 1997 p. 493 consid. 1).</w:t>
      </w:r>
    </w:p>
    <w:p>
      <w:r>
        <w:t>La valeur litigieuse est déterminée par les dernières conclusions de première instance (art. 91 al. 1 CPC; JEANDIN, Commentaire romand, Code de procédure civile, 2ème éd. 2019,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 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l’appartement, charges non comprises, s’élève à 18'408 fr.</w:t>
      </w:r>
    </w:p>
    <w:p>
      <w:r>
        <w:t>En prenant en compte uniquement la durée de protection de trois ans et le montant du loyer, charges non comprises, la valeur litigieuse est déjà supérieure à 10'000 fr. (18'408 fr. x 3 = 55'224 fr.).</w:t>
      </w:r>
    </w:p>
    <w:p>
      <w:r>
        <w:t>- 11/18 -</w:t>
      </w:r>
    </w:p>
    <w:p>
      <w:r>
        <w:t>C/22553/2016</w:t>
      </w:r>
    </w:p>
    <w:p>
      <w:r>
        <w:t>La voie de l’appel est ainsi ouverte.</w:t>
      </w:r>
    </w:p>
    <w:p>
      <w:r>
        <w:rPr>
          <w:b/>
        </w:rPr>
        <w:t>E. 1.3</w:t>
      </w:r>
    </w:p>
    <w:p>
      <w:r>
        <w:t>Selon l’art. 311 al. 1 CPC, l’appel, écrit et motivé, est introduit auprès de l’instance d’appel dans les 30 jours à compter de la notification de la décision, laquelle doit être jointe au dossier d’appel.</w:t>
      </w:r>
    </w:p>
    <w:p>
      <w:r>
        <w:t>En l'occurrence, l'acte déposé au greffe de la Cour l'a été dans le délai légal de 30 jours (cf. également art. 145 al. 1 let. a CPC), et répond en outre aux exigences de forme et motivation, de sorte qu'il est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 aux premiers juges d’avoir mal apprécié les preuves en retenant l’existence d’une sous-location et en admettant de ce fait l’efficacité du congé notifié en application l’art. 257f al. 3 CO.</w:t>
      </w:r>
    </w:p>
    <w:p>
      <w:r>
        <w:rPr>
          <w:b/>
        </w:rPr>
        <w:t>E. 2.1.1</w:t>
      </w:r>
    </w:p>
    <w:p>
      <w:r>
        <w:t>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 Selon la jurisprudence, lorsque la résiliation est donnée par le bailleur en relation avec la sous-location de la chose louée, à laquelle le locataire peut prétendre aux conditions de l'art. 262 CO (cf. art. 271a al. 1 let. a CO; ATF 138 III 59 consid. 2.2.1; arrêt du Tribunal fédéral 4A_290/2015 du 9 septembre 2015 consid. 4.2), il faut distinguer selon que la sous-location est totale ou seulement partielle (arrêt du Tribunal fédéral 4A_290/2015 déjà cité consid. 4.3 et 4.4; 4A_227/2017 du 5 septembre 2017 consid. 4.2).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Si le locataire continue à utiliser les locaux (sous-location</w:t>
      </w:r>
    </w:p>
    <w:p>
      <w:r>
        <w:t>- 12/18 -</w:t>
      </w:r>
    </w:p>
    <w:p>
      <w:r>
        <w:t>C/22553/2016 partielle), mais n'avait pas obtenu le consentement du bailleur à la sous-location, il convient de raisonner comme en cas de sous-location totale (arrêt du Tribunal fédéral 4A_290/2015 précité consid. 4.4.1).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p. 450; arrêt du Tribunal fédéral 4A_367/2010 du</w:t>
      </w:r>
    </w:p>
    <w:p>
      <w:r>
        <w:rPr>
          <w:b/>
        </w:rPr>
        <w:t>E. 2.1.2</w:t>
      </w:r>
    </w:p>
    <w:p>
      <w:r>
        <w:t>Pour les baux d'habitations, sauf stipulation contraire, le locataire n'est pas tenu d'occuper lui-même la chose louée (HIGI, Commentaire zurichois, n° 27 ad art. 253CO; SVIT-Kommentar Mietrecht, 3ème éd. 2008, n° 14 ad art. 257f CO; LACHAT, Le bail à loyer, 2008, p. 80). L'usage normal des locaux d'habitation autorise l'hébergement des membres de la famille et des proches du locataire (LACHAT, Commentaire romand, Code des obligations I, n. 6 ad art. 253 CO et n. 6 ad art. 257f CO; SVIT-Kommentar Mietrecht, op. cit., n. 13 ad art. 257f CO). La sous-location est un contrat onéreux. Sans loyer, il n’y a pas de sous-location. L’hébergement de parents, d’un concubin ou d’une personne en visite ne constitue pas une forme de sous-location (LACHAT, Le bail à loyer, 2008, p. 567 ch. 2.1; dans le même sens, CPra Bail - Michel BISE/Aurélie PLANAS, art. 262 CO n. 16).</w:t>
      </w:r>
    </w:p>
    <w:p>
      <w:r>
        <w:t>- 13/18 -</w:t>
      </w:r>
    </w:p>
    <w:p>
      <w:r>
        <w:t>C/22553/2016 Tant que l’appartement n’est pas suroccupé, l’hébergement durable d’un membre de la famille (par ex. enfant, épouse) est autorisé; il en va de même de l’hébergement gratuit d’un tiers pendant une longue durée (cf. BURKHALTER/ MARTINEZ-FAVRE, Commentaire SVIT du droit du bail, Lausanne 2011, art. 262 CO, p. 320 n. 7). Lorsque la cession par contrat de l'usage d'une chose est opérée sans aucune contre-prestation - c'est-à-dire à titre gratuit -, les parties concernées sont soumises aux règles du prêt à usage des art. 305 ss CO, et non pas à celles régissant le bail (SCHÄRER/MAURENBRECHER, Commentaire bâlois, Obligationenrecht I, 4ème éd., n. 3 ad art. 305 CO; TERCIER/FAVRE, Les contrats spéciaux, 4ème éd., ch. 1969, p. 290; ATF 136 III 186 consid. 3.2.3).</w:t>
      </w:r>
    </w:p>
    <w:p>
      <w:r>
        <w:rPr>
          <w:b/>
        </w:rPr>
        <w:t>E. 2.1.3</w:t>
      </w:r>
    </w:p>
    <w:p>
      <w:r>
        <w:t>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2.2</w:t>
      </w:r>
    </w:p>
    <w:p>
      <w:r>
        <w:t>En l’espèce, l’appelante fait grief aux premiers juges d’avoir mis à sa charge le fardeau de la preuve de l’existence d’une sous-location illicite alors que cette charge revenait à la bailleresse, qui a notifié un congé immédiat. Elle soutient que le Tribunal a violé son libre pouvoir d’appréciation des preuves en omettant sciemment de se fonder sur les témoignages J______ et E______, deux de ses proches qui ont confirmé avoir occupé gracieusement le logement au fil du temps, la première en raison de la relation amicale nouée avec son père, et le second en raison de son statut de concubin.</w:t>
      </w:r>
    </w:p>
    <w:p>
      <w:r>
        <w:t>- 14/18 -</w:t>
      </w:r>
    </w:p>
    <w:p>
      <w:r>
        <w:t>C/22553/2016</w:t>
      </w:r>
    </w:p>
    <w:p>
      <w:r>
        <w:rPr>
          <w:b/>
        </w:rPr>
        <w:t>E. 2.2.1</w:t>
      </w:r>
    </w:p>
    <w:p>
      <w:r>
        <w:t>Comme l'ont retenu à juste titre les premiers juges, il est établi que l’appelante n’occupe plus l’appartement depuis 2012 en tous cas, à l’exception de quelques présences sporadiques, ce qui permet de considérer que l’occupation est très partielle. L’année 2012 correspond à la prise de domicile de l’appelante à I______, auprès d’une amie, lorsqu’elle a rencontré des difficultés dans sa relation avec E______. Ce dernier a déclaré vivre dans la maison de C______ - acquise par l’appelante en 2007 - depuis trois à quatre ans, soit depuis l’année 2013, avec sa fille; l’appelante a également admis se rendre autant que possible à C______ pour partager du temps avec son compagnon et leur fille, volonté qui s’est concrétisée par une domiciliation officielle depuis le mois d’octobre 2015 à C______ et par le fait de faire suivre à C______ le courrier reçu à la route 1______. Selon l'expérience générale de la vie, le locataire qui acquiert un logement et s'y établit a l'intention de créer ainsi une situation durable (cf. arrêt du Tribunal fédéral 4A_367/2010 du 4 octobre 2010 consid. 2.3). Cette installation durable à C______ est corroborée également par la scolarisation de la fille de la locataire dans l’école du quartier en 2015 et par les travaux d’aménagement effectués par E______ dans la villa, dans laquelle la fille dispose de sa propre chambre, ce qui n’est pas le cas dans le logement de [la route] 1______. La nécessité de conserver le logement de [la route] 1______ à des fins professionnelles n'est pas vraisemblable, l’appelante n’ayant pas démontré, par la production d’un contrat, une obligation contractuelle de disposer d'un domicile sur le canton de Genève; au contraire, l’appelante a confirmé ne pas être tenue de se rendre tous les matins auprès de clients à Genève. De l’aveu même de l’appelante, le logement de [la route] 1______ a été occupé, depuis l’année 2012, par quatre couples et trois autres personnes seules, dont J______ en tout cas jusqu'en décembre 2017. La déposition de l’appelante apparaît ainsi peu crédible, lorsqu’elle soutient que le centre de vie de sa famille se trouve à Genève, ce qui est d'ailleurs contredit par les déclarations des voisins habitant dans l’immeuble. E______ a de plus admis que l’appelante restait très rarement seule à [la route] 1______ et que, pour sa part et depuis la scolarisation de leur fille à C______, il passait la quasi-totalité de son temps dans ce village. Les voisins entendus (témoins F______, G______ et N______) ont tous confirmé que peu après la naissance de sa fille, l’appelante avait quitté l’appartement et n’avait plus été vue sur place sauf rares exceptions; ces brèves occupations, tout comme celles de E______, ne sont pas de nature à emporter la conviction de la Cour quant à l’existence d’un centre de vie familial à Genève et quant à une domiciliation à C______ pour de simples raisons fiscales, comme allégué par l’appelante. L’ensemble des indices susmentionnés permettent de retenir que l’appelante, son compagnon et leur fille ont déplacé leur centre de vie à C______ dans la maison</w:t>
      </w:r>
    </w:p>
    <w:p>
      <w:r>
        <w:t>- 15/18 -</w:t>
      </w:r>
    </w:p>
    <w:p>
      <w:r>
        <w:t>C/22553/2016 acquise de longue date par l’appelante et dont les aménagements réalisés permettent une occupation permanente. En outre, comme retenu par le Tribunal, il apparaît que le logement de [la route] 1______ a été occupé de manière régulière par un couple, puis, dès le printemps 2016, par deux jeunes femmes. Le témoin G______ a été confronté à des occupants différents lorsqu’il s'est rendu dans le logement afin de se plaindre des nuisances. Le témoin M______ a déclaré, de manière précise et convaincante, que le logement avait été occupé par un couple de hollandais, dont le chien dérangeait, puis, dès le printemps 2016, par deux femmes d’origine kazakhe dont l’une était également détentrice d’un chien qui aboyait davantage; son témoignage a été corroboré par celui de F______, qui a constaté que deux femmes différentes de celles rencontrées en 2016 lui avaient répondu lorsqu’il s’était plaint de nouvelles nuisances en octobre 2017. Ces témoignages, mis en rapport avec l’admission tardive de l’appelante de la mise à disposition du logement à quatre couples et trois personnes seules, corroborent le fait que durant de longues périodes (2014-2015 pour le couple O______/Q______, puis depuis le printemps 2016 par J______) l’occupation du logement s’apparentait davantage à une sous-location qu'à l'hébergement de parents, d’un concubin ou d’une personne proche en visite - ce qui semble avoir été le cas des membres de la famille de l’appelante, listés dans son envoi du 13 novembre 2017, et de E______. Toutefois, comme déjà indiqué ci-dessus, cette occupation par des proches a été marginale et épisodique, et non pas prépondérante, en tous cas depuis 2012. Au vu de l’ensemble des éléments rapportés ci-dessus, c'est à bon droit que le Tribunal a considéré que la mise à disposition du logement à des tiers ne pouvait être assimilée à l’hébergement gracieux de proches ou de familiers, mais constituait une sous-location.</w:t>
      </w:r>
    </w:p>
    <w:p>
      <w:r>
        <w:rPr>
          <w:b/>
        </w:rPr>
        <w:t>E. 2.2.2</w:t>
      </w:r>
    </w:p>
    <w:p>
      <w:r>
        <w:t>Reste dès lors à examiner si le caractère onéreux de la mise à disposition des locaux à des tiers a été établi de manière suffisamment convaincante, ce que conteste l’appelante. L'appelante reproche aux premiers juges d’avoir écarté le témoignage J______. Cette dernière a expliqué être la fille d’un ami de l’appelante, sans autre précision, et avoir occupé le logement trois à quatre jours par semaine depuis le printemps 2016 et ce encore au mois de septembre 2017, date à laquelle elle s’était fait remettre les clés de l’appartement. Elle a expliqué avoir passé, en octobre 2016, trois semaines consécutives dans le logement avec une amie kazakhe qui détenait un bichon maltais, excluant avoir par la suite vécu avec qui que ce soit d’autre hormis l’appelante et E______. Or, ces constats ne se recoupent pas avec ceux des occupants de l’immeuble, qui ont relaté avoir été fortement dérangés par les</w:t>
      </w:r>
    </w:p>
    <w:p>
      <w:r>
        <w:t>- 16/18 -</w:t>
      </w:r>
    </w:p>
    <w:p>
      <w:r>
        <w:t>C/22553/2016 aboiements de chiens, ce jusqu’au mois de janvier et février 2017 encore, le témoin F______ ayant même identifié le chien comme étant un bichon maltais. Il apparaît donc douteux que le logement ait été occupé par J______ seule, elle- même n’ayant pas de chien à l’instar de l’appelante et de son compagnon, et son amie kazakhe étant seule détentrice d’un bichon maltais. Les nuisances ne pouvaient donc provenir que d’autres occupants, que l’appelante n’a manifeste- ment pas porté sur la liste versée à la procédure le 13 novembre 2017. S’il est exact que le témoin J______ a indiqué être logée gratuitement, il n’est pas dans le cours ordinaire des choses d’accorder pareille gratuité aux enfants d’un ami, dont les liens avec l’appelante ne peuvent être qualifiés à l’identique de ceux noués avec des proches ou des familiers; il n’apparaît pas non plus qu’une telle faveur répondait à une nécessité financière. Sur ce point, il y a lieu de relever que l’appelante n’a pas collaboré à la détermination de sa situation financière qu’elle dit être aisée au point d’être en mesure de mettre à disposition partiellement et à titre gratuit le logement considéré à des tiers. Elle a en effet refusé de communiquer ses revenus des années 2016 et 2017. Or, l’activité passée de l’appelante auprès de banques privées de la place ne permet pas encore de conclure à l’existence d’une situation financière aisée lui permettant de loger gracieusement des tiers; si tel avait été le cas, on comprend mal les raisons qui l’ont conduite à ne pas achever plus rapidement les travaux d’aménagement de la maison de C______ pour la mettre en location, puisque tel semblait être le motif originaire de cette acquisition. Le fait d’avoir masqué, dans un premier temps, l’existence de la mise à disposition du logement à des tiers, finalement admise tardivement à l’issue des audiences d’enquêtes, et l’absence de production de titres permettant d’établir sa situation financière réelle sont autant d’éléments qui permettent de douter de la mise à disposition du logement à titre gracieux. Comme déjà relevé, les tiers bénéficiaires du logement n’étaient ni des proches, ni des familiers, point qui se trouve renforcé par le fait que l’appelante n’a pas été en mesure d’orthographier le nom de famille du couple O______/Q______, tous deux présentés comme des amis proches et derniers occupants du logement avant J______. A l’instar des premiers juges, la Cour a acquis la conviction que la mise à disposition gratuite du logement n’apparaît pas crédible, à plus forte raison lorsque la jouissance du logement a été remise à des tiers à sept reprises, dont quatre fois à des couples, pour de longues périodes. Le seul témoignage de J______, dont les constats ne se recoupent avec ceux des autres témoins entendus, ne suffit donc pas pour admettre l’existence d’une mise à disposition gratuite du logement. Les déclarations souvent confuses de l’appelante et son manque de collaboration dans l’établissement des faits doivent donc être interprétés en sa défaveur. Le Tribunal a ainsi procédé à une juste appréciation de l’ensembles des preuves</w:t>
      </w:r>
    </w:p>
    <w:p>
      <w:r>
        <w:t>- 17/18 -</w:t>
      </w:r>
    </w:p>
    <w:p>
      <w:r>
        <w:t>C/22553/2016 disponibles en retenant l’existence d’une sous-location et en arrivant à la conclusion que la mise à disposition gratuite du logement à des tiers, qui n’étaient ni des proches, ni des familiers, n'étant pas établie, l’appelante ayant échoué à démontrer une situation financière lui permettant de renoncer à toute perception d’un loyer. Face au refus de l’appelante de communiquer les conditions de la sous-location, malgré une vaine mise en demeure, la bailleresse était en droit de refuser son consentement à la sous-location selon l’art. 262 al. 2 let a CO et de résilier le bail avec effet immédiat, les conditions d’application de l’art. 257f al. 3 CO étant pour le surplus réalisées. Il apparaît de surcroît que la locataire a perdu définitivement l'usage de l'appartement, dans la mesure où elle vit dans le canton de Vaud et n'as plus la volonté de réintégrer le logement litigieux, en dépit de ce qu'elle soutient. Le congé notifié le 14 octobre 2016 pour le 30 novembre 2016 est donc efficace et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- 18/18 -</w:t>
      </w:r>
    </w:p>
    <w:p>
      <w:r>
        <w:t>C/22553/2016 PAR CES MOTIFS, La Chambre des baux et loyers : A la forme : Déclare recevable l'appel formé le 9 avril 2018 par A______ contre le jugement JTBL/150/2018 rendu le 21 février 2018 par le Tribunal des baux et loyers dans la cause C/22553/2016-2-OSB. Au fond : Confirme le jugement entrepris. Déboute les parties de toutes autres conclusions. Dit que la procédure est gratuite. Siégeant : Monsieur Ivo BUETTI, président; Madame Fabienne GEISINGER-MARIETHOZ et Madame Eleanor McGREGOR, juges; Monsieur Alain MAUNOIR et Monsieur Grégoire CHAMBAZ, juges assesseurs; Madame Maïté VALENTE, greffière.</w:t>
      </w:r>
    </w:p>
    <w:p>
      <w:r>
        <w:t>Le président : Ivo BUETTI</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Il a déjà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 sous-location au sens de l’art. 262 al. 2 let a. CO, confirmant le caractère insupportable du maintien du bail (arrêt du Tribunal fédéral 4A_379/2014 du 10 mars 2015 consid. 4.4 et 4.5).</w:t>
      </w:r>
    </w:p>
    <w:p>
      <w:r>
        <w:rPr>
          <w:b/>
        </w:rPr>
        <w:t>E. 6</w:t>
      </w:r>
    </w:p>
    <w:p>
      <w:r>
        <w:t>septembre 2015 consid. 5.2). Le principe de la libre appréciation des preuves est par exemple violé lorsque l’on dénie par avance à certains moyens de preuve, de façon générale, la force probante, ou lorsqu’en appréciant des preuves, le tribunal ne suit pas sa propre conviction (arrêt du Tribunal fédéral 5A_250/2012 du 18 mai 2012 consid.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