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ACJC/332/2025 vom 28. November 2023</w:t>
      </w:r>
    </w:p>
    <w:p>
      <w:r>
        <w:t>GE Cour de justice, 2023-11-28, FR</w:t>
      </w:r>
    </w:p>
    <w:p>
      <w:r>
        <w:rPr>
          <w:b/>
        </w:rPr>
        <w:t xml:space="preserve">Quelle: </w:t>
      </w:r>
      <w:r>
        <w:t>https://mcp.opencaselaw.ch/entscheid/ge_gerichte_ACJC_332_2025</w:t>
      </w:r>
    </w:p>
    <w:p>
      <w:r>
        <w:t>FR: GE_GERICHTE ACJC/332/2025 du 28 novembre 2023</w:t>
      </w:r>
    </w:p>
    <w:p>
      <w:r>
        <w:t>IT: GE_GERICHTE ACJC/332/2025 del 28 novembre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en appel porte notamment sur l'attribution des droits parentaux, soit sur une affaire non pécuniaire dans son ensemble, de sorte que la</w:t>
      </w:r>
    </w:p>
    <w:p>
      <w:r>
        <w:t>- 11/25 -</w:t>
      </w:r>
    </w:p>
    <w:p>
      <w:r>
        <w:t>C/25341/2021 voie de l'appel est ouverte indépendamment de la valeur litigieuse (arrêt du Tribunal fédéral 5A_611/2019 du 29 avril 2020 consid. 1).</w:t>
      </w:r>
    </w:p>
    <w:p>
      <w:r>
        <w:rPr>
          <w:b/>
        </w:rPr>
        <w:t>E. 1.2</w:t>
      </w:r>
    </w:p>
    <w:p>
      <w:r>
        <w:t>Interjeté dans le délai et les formes prescrits par la loi (art. 130, 131, 142 al. 1 et 3, 145 al. 1 let. c et 311 al. 1 CPC) auprès de l'autorité compétente (art. 120 al. 1 let. a LOJ), l'appel est recevable.</w:t>
      </w:r>
    </w:p>
    <w:p>
      <w:r>
        <w:t>Sont également recevables la réponse de l'intimée (art. 312 CPC) ainsi que les écritures subséquentes des parties (art. 316 al. 2 CPC).</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5A_281/2023 du 2 mai 2024 consid. 8.1).</w:t>
      </w:r>
    </w:p>
    <w:p>
      <w:r>
        <w:rPr>
          <w:b/>
        </w:rPr>
        <w:t>E. 1.4</w:t>
      </w:r>
    </w:p>
    <w:p>
      <w:r>
        <w:t>Les maximes d’office et inquisitoire illimitée sont applicables aux questions concernant l'enfant mineur des parties (art. 55 al. 2, 58 al. 2 et art. 296 CPC), de sorte que la Cour n’est pas liée par les conclusions des parties sur ces points (art. 296 al. 3 CPC). La maxime des débats et le principe de disposition sont applicables à la présente cause en tant qu'elle concerne la liquidation du régime matrimonial (art. 55 al. 1, 58 al. 1 et 277 al. 1 CPC) et les questions de prévoyance professionnelle (l'art. 277 al. 3 CPC ne s'appliquant qu'en première instance; cf. ATF 129 III 481 consid. 3.3; arrêt du Tribunal fédéral 5A_882/2022 du 19 octobre 2023 consid. 3.2).</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6 à 14, 17, 22 et 23 du dispositif du jugement entrepris, non remis en cause par les parties, sont entrés en force de chose jugée. Les chiffres 24 et 25 relatifs aux frais pourront être revus d'office en cas d'annulation de tout ou partie du jugement entrepris (art. 318 al. 3 CPC).</w:t>
      </w:r>
    </w:p>
    <w:p>
      <w:r>
        <w:t>- 12/25 -</w:t>
      </w:r>
    </w:p>
    <w:p>
      <w:r>
        <w:t>C/25341/2021</w:t>
      </w:r>
    </w:p>
    <w:p>
      <w:r>
        <w:rPr>
          <w:b/>
        </w:rPr>
        <w:t>E. 2</w:t>
      </w:r>
    </w:p>
    <w:p>
      <w:r>
        <w:t>L'appelant a produit des pièces nouvelles en seconde instance.</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2.2.3-2.2.6; arrêt du Tribunal fédéral 5A_364/2020 du 14 juin 2021 consid. 8.1).</w:t>
      </w:r>
    </w:p>
    <w:p>
      <w:r>
        <w:rPr>
          <w:b/>
        </w:rPr>
        <w:t>E. 2.2</w:t>
      </w:r>
    </w:p>
    <w:p>
      <w:r>
        <w:t>En l'espèce, les pièces 86 et 89 nouvellement produites par l'appelant devant la Cour seront déclarées irrecevables, ainsi que les faits qui s'y rapportent, dès lors qu'elles auraient pu être produites devant la première instance si l'appelant avait fait preuve de la diligence requise et qu'elles concernent la liquidation du régime matrimonial (pièces 86) et la question du partage des avoirs de prévoyance professionnelle (pièce 89).</w:t>
      </w:r>
    </w:p>
    <w:p>
      <w:r>
        <w:t>En revanche, la pièce 88 produite par l'appelant devant la Cour est recevable, ainsi que les faits qui s'y rapportent, dès lors qu'il s'agit de faits intervenus postérieurement au moment où le Tribunal a gardé la cause à juger au mois d'octobre 2023.</w:t>
      </w:r>
    </w:p>
    <w:p>
      <w:r>
        <w:t>La question de la recevabilité de la pièce 90, à laquelle l'appelant fait référence, est sans pertinence car cette pièce n'a pas été produite.</w:t>
      </w:r>
    </w:p>
    <w:p>
      <w:r>
        <w:rPr>
          <w:b/>
        </w:rPr>
        <w:t>E. 3</w:t>
      </w:r>
    </w:p>
    <w:p>
      <w:r>
        <w:t>L'appelant remet en cause les modalités de la garde alternée instaurée par le Tribunal.</w:t>
      </w:r>
    </w:p>
    <w:p>
      <w:r>
        <w:rPr>
          <w:b/>
        </w:rPr>
        <w:t>E. 3.1</w:t>
      </w:r>
    </w:p>
    <w:p>
      <w:r>
        <w:t>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w:t>
      </w:r>
    </w:p>
    <w:p>
      <w:r>
        <w:t>La garde alternée est la situation dans laquelle les parents exercent en commun l'autorité parentale, mais se partagent la garde de l'enfant d'une façon alternée pour des périodes plus ou moins égales (arrêts du Tribunal fédéral 5A_932/2021 du 22 avril 2022 consid. 3.1; 5A_401/2021 du 3 mars 2022 consid. 3.1.1).</w:t>
      </w:r>
    </w:p>
    <w:p>
      <w:r>
        <w:t>- 13/25 -</w:t>
      </w:r>
    </w:p>
    <w:p>
      <w:r>
        <w:t>C/25341/2021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w:t>
      </w:r>
    </w:p>
    <w:p>
      <w:r>
        <w:rPr>
          <w:b/>
        </w:rPr>
        <w:t>E. 3.2</w:t>
      </w:r>
    </w:p>
    <w:p>
      <w:r>
        <w:t>En l'espèce, la garde alternée n'est pas remise en cause dans son principe. L'on comprend à la lecture de l'acte d'appel que l'appelant reproche au premier juge d'avoir imposé un passage de l'enfant le mercredi à 18h00 toutes les semaines en lieu et place du mercredi à 10h00 une semaine sur deux, une erreur s'étant visiblement glissée dans ses conclusions. Dans le cadre de son examen, le Tribunal a établi que les parties s'étaient entendues sur les modalités de la garde alternée et qu'il convenait, dans l'intérêt de l'enfant et conformément aux recommandations du SEASP (dont il est admis que le rapport est erroné sur la question des horaires du mercredi), de maintenir l'accord actuel sur la garde. Il ne fait pas de doute que ce dernier implique un partage à parts égales entre les parents avec un passage de l'enfant de chez sa mère à chez son père le mercredi à 10h00, respectivement à 18h00, en alternance une semaine sur deux. Contrairement à ce que soutient l'intimée, rien n'indique que le Tribunal, en fixant les modalités de la garde alternée, aurait partiellement tenu compte du souhait exprimé par C______ de passer la nuit du mercredi chez sa mère une semaine sur deux. Si la question d'une nuit supplémentaire chez l'intimée a été soulevée en première instance, elle n'est plus d'actualité. En outre, il n'a jamais été question que l'enfant passe tous les mercredis entièrement chez sa mère. Au demeurant, l'intimée, qui conclut à la confirmation du jugement, n'apporte aucun élément nouveau qui justifierait de s'écarter de la répartition égalitaire convenue entre les parties. La formulation du dispositif du jugement entrepris relève plutôt d'une retranscription malheureuse par le Tribunal des modalités actuelles de la garde alternée convenues entre les parties, qui a repris la formulation erronée du SEASP. A cela s'ajoute que contrairement à ce qu'a prévu le Tribunal, il ne peut exister des périodes durant lesquelles l'enfant n'est sous la garde d'aucun de ses parents (ici les lundis et vendredis entre 8h00 et 16h00), de sorte qu'il sera décidé qu'une semaine sur deux, l'enfant sera sous la garde de son père le vendredi jusqu'à 12h00, respectivement sous la garde de sa mère le vendredi dès 12h00 et, une semaine sur deux, sous la garde de son père le lundi jusqu'à 12h00, respectivement sous la garde de sa mère le lundi dès 12h00. Par conséquent, le point 5 du dispositif du jugement entrepris sera annulé. Il sera statué à nouveau sur ce point, dans le sens de ce qui précède.</w:t>
      </w:r>
    </w:p>
    <w:p>
      <w:r>
        <w:t>- 14/25 -</w:t>
      </w:r>
    </w:p>
    <w:p>
      <w:r>
        <w:t>C/25341/2021</w:t>
      </w:r>
    </w:p>
    <w:p>
      <w:r>
        <w:rPr>
          <w:b/>
        </w:rPr>
        <w:t>E. 4</w:t>
      </w:r>
    </w:p>
    <w:p>
      <w:r>
        <w:t>L'appelant reproche au Tribunal de ne pas lui avoir accordé d'indemnisation en compensation de la renonciation à l'exercice de son droit d'usufruit sur le chalet de D______.</w:t>
      </w:r>
    </w:p>
    <w:p>
      <w:r>
        <w:t>4.1.1 L'usufruit peut être établi sur des immeubles (art. 745 al. 1 CC). Il confère en principe un droit de jouissance complet sur la chose. Cependant, l’art. 745 al. 2 CC précise « sauf disposition contraire » ; il s’agit donc d’une règle de droit dispositif. Cela signifie que les parties peuvent réserver au nu-propriétaire certaines facultés d'usage ou de jouissance (STEINAUER, Les droits réels, tome III, 2021, n. 3607; FARINE FABBRO, CR CC II, 2016, n. 23ss ad art. 745 CC).</w:t>
      </w:r>
    </w:p>
    <w:p>
      <w:r>
        <w:t>L'usufruit est une servitude personnelle proprement dite, indissolublement liée à la personne de son titulaire, de sorte qu'il dure en principe jusqu'à la mort de l'usufruitier (art. 749 CC; ATF 143 II 402 consid. 6.2; 113 II 121 consid. 2aa; STEINAUER, op. cit., n. 3603).</w:t>
      </w:r>
    </w:p>
    <w:p>
      <w:r>
        <w:t>L'usufruit s'éteint par la perte totale de la chose et en outre, s'il s'agit d'immeubles, par la radiation de l'inscription, lorsque celle-ci est nécessaire pour l'établir (art. 748 al. 1 CC). D'autres causes d'extinction, telle que la renonciation de l'usufruitier, ne confère au propriétaire, en matière d'usufruit immobilier, que le droit d'exiger la radiation (al. 2). La validité de la renonciation en elle-même n’est soumise à aucune forme (115 CO; FARINE FABBRO, op. cit., n. 9 ad art. 748 CC). Le divorce du nu-propriétaire n'a aucune influence sur l'usufruit. Lorsque les époux sont tous deux titulaires de l'usufruit, leur divorce ne touche pas l'existence même du droit. Cependant, en principe, seul l'un d'eux continuera d'exercer le droit, l'art. 650 CC étant inapplicable à l'usufruit. Lorsque seul l'un des époux est titulaire de l'usufruit, le divorce n'a aucune influence sur l'usufruit. Le bénéficiaire continue à jouir de son droit comme si de rien n'était (FARINE FABBRO, op. cit., n. 23-24 ad art. 748 CC).</w:t>
      </w:r>
    </w:p>
    <w:p>
      <w:r>
        <w:t>4.1.2 Les art. 730ss CC ont pour objet les servitudes foncières, mais ils constituent en fait une partie générale pour toutes les servitudes ; ils s’appliquent donc mutatis mutandis aux servitudes personnelles (ARGUL, CR CC II, 2016, n. 1 ad art. 730 CC).</w:t>
      </w:r>
    </w:p>
    <w:p>
      <w:r>
        <w:t>4.1.3 Selon l'art. 736 CC, le propriétaire grevé peut exiger la radiation d'une servitude qui a perdu toute utilité pour son bénéficiaire (al. 1); il peut obtenir contre indemnité - comme le disent expressément les textes allemand et italien -, la libération totale ou partielle d'une servitude qui ne conserve qu'une utilité réduite, hors de proportion avec les charges imposées au fonds servant (al. 2). L'application de l'art. 736 al. 1 CC exclut celle de l'al. 2 (arrêt du Tribunal fédéral 5A_162/2021 du 9 septembre 2021 consid. 5.3; PRADERVAND-KERNEN/ SCHROETER, Le pouvoir d'appréciation du juge en relation avec la libération judiciaire des servitudes, 2023, p. 219).</w:t>
      </w:r>
    </w:p>
    <w:p>
      <w:r>
        <w:t>- 15/25 -</w:t>
      </w:r>
    </w:p>
    <w:p>
      <w:r>
        <w:t>C/25341/2021</w:t>
      </w:r>
    </w:p>
    <w:p>
      <w:r>
        <w:t>L'utilité pour le fonds dominant se définit par l'intérêt du propriétaire de ce fonds, respectivement l'intérêt du titulaire de la servitude, à exercer la servitude conformément à son objet et à son contenu. A cet égard, il faut tenir compte du principe de l'identité de la servitude qui veut qu'un tel droit ne peut être maintenu dans un autre but que celui pour lequel il a été constitué (ATF 132 III 651 consid. 8; arrêt du Tribunal fédéral 5A_162/2021 du 9 septembre 2021 consid. 5.1). Il convient ainsi de rechercher si l'usage de la servitude présente encore pour son titulaire un intérêt conforme à son but initial (ATF 130 III 554 consid. 2; arrêt du Tribunal fédéral 5A_162/2021 précité consid. 5.1). La perte de l'utilité doit être définitive. Il faut en effet tenir compte du fait que l'intérêt à un usage conforme au but initial de la servitude peut renaître dans un avenir prévisible. Une possibilité purement théorique d'un changement futur de circonstance est cependant insuffisante pour justifier le maintien de l'inscription du droit. Pour que l’action de l’art. 736 al. 1 CC puisse être rejetée, il faut que, selon le cours ordinaire des choses et l’expérience générale de la vie, la renaissance de l’intérêt présente une certaine probabilité concrète. Le juge dispose à cet égard d’un pouvoir d’appréciation (art. 4 CC; ATF 130 III 393 consid. 5.1; ARGUL, op. cit., n. 8 ad art. 736 CC; PRADERVAND-KERNEN/SCHROETER, op.cit., pp. 223-224). Lorsque toutes les conditions de l'art. 736 al. 1 CC sont remplies, le juge doit constater l'extinction de la servitude. Il peut aussi être amené à constater l'extinction partielle du droit. Dans les deux cas, aucune indemnité n'est due au propriétaire du fonds dominant (ATF 91 II 190 consid. 5; arrêt du Tribunal fédéral 5A_216/2011 précité consid. 3.3.2 et 4; ARGUL, op. cit., n. 11 ad art. 736 CC, STEINAUER, op. cit., tome II, n. 3422ss). 4.1.4 Dans le cas où la perte totale d'intérêt de la servitude ne peut être prononcée avec suffisamment de certitude ou lorsque la servitude conserve une utilité réduite, l'art. 736 al. 2 CC permet au propriétaire grevé d'obtenir la libération de la servitude en contrepartie du versement d'une indemnité (PRADERVAND- KERNEN/SCHROETER, op. cit., pp. 218-219). L'application de l'art. 736 al. 2 CC est soumise à trois conditions. Premièrement, la servitude doit conserver pour son titulaire un intérêt correspondant à l'intérêt pour lequel elle a été constituée (principe de l'identité de la servitude). Deuxièmement, cet intérêt doit apparaître comme hors de proportion avec les charges imposées au propriétaire du fonds servant. La disproportion peut résulter d'une diminution de l'intérêt du titulaire de la servitude ou d'une aggravation de la charge pour le propriétaire du fonds servant. Ainsi, même si l'intérêt que représente la servitude pour son titulaire n'a pas diminué, il peut sembler particulièrement ténu par rapport aux nouveaux désavantages subis par le propriétaire grevé. La doctrine retient que la disproportion entre les intérêts doit être choquante ou flagrante (ARGUL GROSSRIEDER, Les causes d'extinction des servitudes foncières, en particulier la</w:t>
      </w:r>
    </w:p>
    <w:p>
      <w:r>
        <w:t>- 16/25 -</w:t>
      </w:r>
    </w:p>
    <w:p>
      <w:r>
        <w:t>C/25341/2021 perte d'utilité et ses conséquences sur l'existence formelle du droit, 2005, n. 532; PRADERVAND-KERNEN/SCHROETER, op. cit., p. 231). Les faits à l'origine de la disproportion doivent être postérieurs à la constitution de la servitude. En outre, le propriétaire du fonds servant ne doit pas être à l'origine des faits qui ont provoqué la disproportion, en ce sens qu'une éventuelle aggravation de la charge ne doit pas lui être imputable. En utilisant l'expression "hors de proportion" à l'art. 736 al. 2 CC, le législateur s'en est remis au juge pour trouver la solution la plus adéquate (art. 4 CC). Le juge dispose d'un large pouvoir d'appréciation dans ce contexte (ATF 107 II 331 consid. 4, JdT 1982 I 118; arrêt du Tribunal fédéral 5C.287/2001 du 15 janvier 2002 consid. 3c; PRADERVAND-KERNEN/SCHROETER, op. cit., pp. 231-232; 234; ARGUL, op. cit., n. 15 ad art. 736 CC). Enfin, le propriétaire du fonds servant doit indemniser le titulaire de la servitude. Cette indemnité correspond à la perte de l'intérêt que représentait encore la servitude pour son titulaire, et non pas à la plus-value dont profite le fonds servant suite à cette libération. Pour déterminer le montant de l'indemnité, le juge applique par analogie les règles relatives à la fixation de l'indemnité d'expropriation, dans la mesure où la libération des servitudes prévues à l'art. 736 al. 2 CC peut être assimilée à une sorte d'expropriation privée (ARGUL, op. cit., n. 16 ad art. 736 CC; STEINAUER, op. cit., tome II, n. 3431). Lorsque toutes les conditions d'application de l'art. 736 al. 2 CC sont remplies, le juge doit prononcer la suppression totale ou partielle de la servitude et fixer l'indemnité due. Le jugement rendu en application de l'art. 736 al. 2 CC est formateur. La servitude ne s'éteint cependant que lorsque l'indemnité est payée au propriétaire du fonds dominant, respectivement au titulaire de la servitude (ARGUL, op. cit., n. 17 ad art. 736 CC).</w:t>
      </w:r>
    </w:p>
    <w:p>
      <w:r>
        <w:t>4.2.1 Pour décider si, in casu, l'usufruit constitué en faveur de l'appelant conserve une utilité, il y a lieu de déterminer le but originairement assigné audit droit. A ce sujet, il est établi que le chalet a été acquis par l'intimée en pleine propriété et qu'un droit d'usufruit a été concédé à l'appelant et inscrit au Registre foncier. Il résulte par ailleurs des explications concordantes des parties qu'il s'agissait d'un usufruit devant s'exercer conjointement avec la nue propriétaire et non pas de manière exclusive, ce qui résulte aussi de l'acte de vente qui mentionne que "l'exercice du droit d'usufruit se fera conjointement avec Mme B______".</w:t>
      </w:r>
    </w:p>
    <w:p>
      <w:r>
        <w:t>L'on comprend ainsi que le but recherché était de permettre à l'appelant de pouvoir utiliser la propriété avec l'intimée, voire de lui permettre de continuer à l'utiliser en cas de décès ou d'incapacité de celle-ci, conjointement avec le fils commun du couple, qui devait hériter seul de ce bien de sa mère selon la volonté exprimée des parties (cf. ch. 27 de la motivation de la demande en divorce de l'appelant). Dans les deux cas, l’exercice de ce droit a été voulu commun, avec la propriétaire ou avec le fils de celle-ci; à aucun moment l'appelant n'a bénéficié d’un droit exclusif. Parce qu’il suppose une intimité qui n’est en général partagée</w:t>
      </w:r>
    </w:p>
    <w:p>
      <w:r>
        <w:t>- 17/25 -</w:t>
      </w:r>
    </w:p>
    <w:p>
      <w:r>
        <w:t>C/25341/2021 que par des conjoints ou les membres d’une même famille, un tel droit de coutilisation n’est pas séparable du contexte du mariage dans lequel sa constitution s’est inscrite.</w:t>
      </w:r>
    </w:p>
    <w:p>
      <w:r>
        <w:t>Par conséquent, c’est la séparation du couple et la fin de la communauté de vie qui s’en est suivie qui a privé l'usufruit de son intérêt et non pas une révocation unilatérale opposée par la propriétaire. Dès lors que l’on ne peut exiger de cette dernière ni qu’elle utilise le chalet avec son ex-époux ni qu’elle accorde à celui-ci, malgré le divorce, la possibilité d’user du logement, force est de constater que l’exercice du droit tel que convenu par les parties n’est plus envisageable dans un avenir prévisible. Cet état de fait, même s’il tient à la relation qu’entretiennent la propriétaire et le bénéficiaire - laquelle a précisément décidé la constitution d’un droit d'usufruit commun -, consacre bel et bien une impossibilité objective de poursuivre l’exercice, conjoint, dudit droit conformément à son but initial et ce quand bien même il s'agit d'une résidence secondaire. Eu égard à ces considérations, c'est à juste titre que le Tribunal a considéré que le droit d'usufruit avait perdu toute utilité au sens de l'art. 736 al. 1 CC et qu'il y avait donc lieu d'en constater l'extinction et sa radiation, sans indemnité.</w:t>
      </w:r>
    </w:p>
    <w:p>
      <w:r>
        <w:rPr>
          <w:b/>
        </w:rPr>
        <w:t>E. 5</w:t>
      </w:r>
    </w:p>
    <w:p>
      <w:r>
        <w:t>L'appelant reproche au Tribunal d'avoir mal évalué certains biens et avoirs découlant de la liquidation du régime matrimonial.</w:t>
      </w:r>
    </w:p>
    <w:p>
      <w:r>
        <w:t>5.1.1 Les époux sont placés sous le régime de la participation aux acquêts, à moins qu'ils aient adopté un autre régime par contrat de mariage ou qu'ils ne soient soumis au régime matrimonial extraordinaire (art. 181 CC). S’il y a notamment séparation de corps ou séparation de biens judiciaire, la dissolution du régime rétroagit au jour de la demande (art. 204 al. 2 CC). 5.1.2 Le régime de la participation aux acquêts comprend les acquêts et les biens propres de chaque époux (art. 196 CC). Sont acquêts les biens acquis par un époux à titre onéreux pendant le régime (art. 197 CC) et comprennent notamment le produit de son travail, les sommes versées par des institutions de prévoyance en faveur du personnel ou par des institutions d'assurance ou de prévoyance sociale ou les biens acquis en remploi de ses acquêts (art. 197 al. 2 CC). Sont biens propres de par la loi notamment les biens qui lui appartiennent au début du régime ou qui lui échoient ensuite par succession ou à quelque autre titre gratuit et les biens acquis en remploi des biens propres (art. 198 ch. 2 et 4 CC). Tout bien d'un époux est présumé acquêt, sauf preuve du contraire (art. 200 al. 3 CC). 5.1.3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ou, dans le doute, les acquêts (art. 209 al. 2 CC).</w:t>
      </w:r>
    </w:p>
    <w:p>
      <w:r>
        <w:t>- 18/25 -</w:t>
      </w:r>
    </w:p>
    <w:p>
      <w:r>
        <w:t>C/25341/2021 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 du Tribunal fédéral 5A_37/2011 du 1er septembre 2011 consid. 3.2.1 précité). Cette présomption de fait (ou naturelle) sert à faciliter la preuve, mais n'aboutit nullement à un renversement du fardeau de celle-ci (ATF 120 II 248 consid. 2c; 117 II 256 consid. 2b). Elle est réfragable en ce sens que la partie adverse peut apporter la contre-preuve du fait présumé; la contre- preuve n'a pas à convaincre le juge, mais doit affaiblir la preuve principale en semant le doute dans l'esprit de celui-ci (ATF 133 III 81 consid. 4.2.2; 130 III 321 consid. 3.4).</w:t>
      </w:r>
    </w:p>
    <w:p>
      <w:r>
        <w:t>Pour déterminer le bénéfice de chaque époux (art. 210 CC), les acquêts et les biens propres de chaque époux sont disjoints dans leur composition au jour de la dissolution du régime (art. 207 al. 1 CC). Les biens à partager sont estimés à leur valeur vénale au moment de la liquidation, soit en principe, en cas de procédure judiciaire, au jour où le jugement est rendu (art. 211 et 214 al. 1 CC; ATF 142 III 65 consid. 4.5; arrêt du Tribunal fédéral 5A_749/2023 du 12 septembre 2024 consid. 5.1.1).</w:t>
      </w:r>
    </w:p>
    <w:p>
      <w:r>
        <w:t>Chaque époux a droit à la moitié du bénéfice de l'autre, les créances étant compensées (art. 215 CC).</w:t>
      </w:r>
    </w:p>
    <w:p>
      <w:r>
        <w:t>5.1.4 Aux termes de l'art. 8 CC, chaque partie doit, si la loi ne prescrit le contraire, prouver les faits qu'elle allègue pour en déduire son droit.</w:t>
      </w:r>
    </w:p>
    <w:p>
      <w:r>
        <w:t>5.1.5 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arrêt du Tribunal fédéral 5A_547/2024 du 4 novembre 2024 consid. 3.2). Le droit d'être entendu implique également pour l'autorité l'obligation de motiver sa décision, afin que le destinataire puisse en saisir la portée et, le cas échéant, l'attaquer en connaissance</w:t>
      </w:r>
    </w:p>
    <w:p>
      <w:r>
        <w:t>- 19/25 -</w:t>
      </w:r>
    </w:p>
    <w:p>
      <w:r>
        <w:t>C/25341/2021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149 V 156 consid. 6.1; 147 IV 249 consid. 2.4). La violation du droit d'être entendu peut être réparée lorsque la partie lésée a la possibilité de s'exprimer devant une autorité de recours jouissant d'un pouvoir d'examen complet en fait et en droit (ATF 145 I 167 consid. 4.4; arrêt du Tribunal fédéral 5A_70/2021 du 18 octobre 2021 consid. 3.1). 5.2.1 En l'espèce, il est acquis que les parties, qui n'avaient pas conclu de contrat de mariage, ont été soumises au régime légal de la participation aux acquêts (art. 181 CC) jusqu'au 22 décembre 2021, date du dépôt des conclusions en divorce par l'appelant (art. 204 al. 2 CC). 5.2.2. L'appelant reproche au Tribunal d'avoir retenu une valeur trop élevée pour le véhicule H______, dont il est détenteur, en se basant sur une fourchette de prix étrangère aux pièces produites par les parties. Contrairement à ce qu'il plaide, le Tribunal a fondé son raisonnement sur l'estimation effectuée par le garage Q______, qui indiquait une fourchette de prix comprise entre 29'000 fr. et 35'000 fr., retenant la valeur moyenne de ladite fourchette, soit 32'000 fr. En outre, on ne voit pas comment l'estimation produite par l'appelant, tirée d'un site internet généraliste, pourrait avoir une valeur probante supérieure à une attestation signée par un professionnel, spécialisé dans les véhicules de cette marque et connaissant le véhicule pour l'avoir vu au moins une fois. L'appelant n'invoque d'ailleurs pas de faits sur l'état du véhicule qui permettraient de remettre en cause cette évaluation, par exemple, que le véhicule aurait été accidenté depuis la visite au garage précité. Pour le surplus, la pièce nouvelle 86 produite par l'appelant étant irrecevable, son argument relatif à la perte annuelle de la valeur du véhicule sera écarté. Quant à l'argument de l'appelant en lien avec l'abus de droit qui aurait été commis par l'intimée, celui-ci doit également être rejeté dans la mesure où cette dernière a, dans le cadre de la procédure, maintenu sa position concernant la valeur du véhicule et ses conclusions y relatives. Le fait que l'intimée ait renoncé à l'expertise du véhicule ne signifiait pas qu'elle adhérait à la valeur articulée par l'appelant. Par conséquent, le jugement n'est pas critiquable en ce qu'il a retenu une valeur de 32'000 fr. pour le véhicule H______ de l'appelant. 5.2.3 L'appelant fait grief au premier juge d'avoir considéré qu'il n'avait pas cotisé d'avoirs auprès de son assurance-vie I______ avant le mariage. Or, en l'absence de preuve produite en première instance permettant d'établir le montant de la</w:t>
      </w:r>
    </w:p>
    <w:p>
      <w:r>
        <w:t>- 20/25 -</w:t>
      </w:r>
    </w:p>
    <w:p>
      <w:r>
        <w:t>C/25341/2021 cotisation ni un quelconque versement dans les années antérieures au mariage, c'est à juste titre que le Tribunal a retenu un montant de 74'093 fr. 85 relatif à la police d'assurance-vie I______ de l'appelant. La pièce 90 invoquée par l'appelant n'ayant en outre pas été produite, le jugement sera donc confirmé sur ce point. 5.2.4 L'appelant reproche au premier juge d'avoir mal établi la part de fonds propre et d'acquêts lors de l'achat du chalet par l'intimée. Au moment du mariage, les avoirs bancaires de l'intimée s'élevaient à 210'289 fr. 35 (soit 71'240 fr. 20 sur le compte privé F______, 118'549 fr. 15 sur le compte épargne O______ et 20'500 sur le compte privé O______). C'est à tort que l'appelant considère qu'il ne devrait pas être tenu compte du montant de 20'500 fr. issu du compte privé O______, car si celui-ci présentait un solde nul en date du 31 décembre 2017, le compte épargne O______ avait, à la même date, augmenté à 153'785 fr. On peut donc considérer que des avoirs avaient été transférés d'un compte à l'autre. Toutefois c'est à juste titre que l'appelant fait valoir que l'intimée a utilisé une part de ses biens propres avant l'achat du chalet. En effet, au 25 juin 2018, soit au moment de l'achat du chalet, les mêmes comptes présentaient un solde de 29'065 fr., 133'789 fr., respectivement 20'000 fr., pour un total de 182'854 fr., ce qui signifie qu'à cette date, l'intimée avait d'ores et déjà puisé partiellement dans ses biens propres, étant relevé qu'il est présumé qu'elle a puisé prioritairement dans ses acquêts. C'est donc un montant de 182'854 fr. qui doit être retenu comme fonds propres investis par l'intimée dans le chalet. L'appelant ayant toutefois admis qu'une somme de 185'107 fr. constituant des biens propres de l'intimée a été investi dans le chalet, il sera tenu compte de ce dernier montant. Ainsi, le montant des acquêts de l'intimée ayant été utilisés pour l'achat du chalet s'élève à 74'898 fr. (260'005 fr. – 185'107 fr.), le montant total de ses acquêts étant porté à 393'259 fr. (368'077 fr. retenus par le Tribunal – 49'715 fr. 65 + 74'898 fr.). Le total des acquêts du couple s'élève ainsi à 641'443 fr. (248'184 fr. pour l'appelant + 393'259 fr. pour l'intimée), chaque époux ayant le droit à 320'721 fr. 50. Au final, les autres éléments constituant les acquêts des époux n'étant pas contestés, le chiffre 18 sera annulé et l'intimée sera condamnée à verser à l'appelant le montant de 72'537 fr. 50 (320'721 fr. 50 – 248'184 fr.) à titre de liquidation du régime matrimonial. 5.2.5 Pour le surplus, l'argument de l'appelant relatif à la valeur de l'héritage perçu au décès de sa sœur est sans fondement dans la mesure où ces avoirs, constituant des biens propres, ne seront, en tout état de cause, pas partagés.</w:t>
      </w:r>
    </w:p>
    <w:p>
      <w:r>
        <w:t>- 21/25 -</w:t>
      </w:r>
    </w:p>
    <w:p>
      <w:r>
        <w:t>C/25341/2021</w:t>
      </w:r>
    </w:p>
    <w:p>
      <w:r>
        <w:rPr>
          <w:b/>
        </w:rPr>
        <w:t>E. 6</w:t>
      </w:r>
    </w:p>
    <w:p>
      <w:r>
        <w:t>L'appelant reproche au Tribunal de ne pas avoir dérogé au principe du partage par moitié des avoirs de prévoyance professionnelle.</w:t>
      </w:r>
    </w:p>
    <w:p>
      <w:r>
        <w:rPr>
          <w:b/>
        </w:rPr>
        <w:t>E. 6.1</w:t>
      </w:r>
    </w:p>
    <w:p>
      <w:r>
        <w:t>En vertu des art. 122 et 123 CC, les prétentions de prévoyance professionnelle acquises durant le mariage et jusqu'à l'introduction de la procédure de divorce, y compris les versements anticipés effectués pour la propriété du logement, sont en principe partagées par moitié entre les époux.</w:t>
      </w:r>
    </w:p>
    <w:p>
      <w:r>
        <w:t>Selon l'art. 124b al. 2 CC, le juge peut ainsi attribuer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w:t>
      </w:r>
    </w:p>
    <w:p>
      <w:r>
        <w:t>Cette disposition doit être appliquée de manière restrictive, afin d'éviter que le principe du partage par moitié des avoirs de prévoyance soit vidé de son contenu (ATF 146 III 56 consid. 5.3.2; arrêt du Tribunal fédéral 5A_483/2023 du 29 octobre 2024 consid. 4.2).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 du Tribunal fédéral 5A_469/2023 du 13 décembre 2023 consid. 5.1). Une simple inégalité résultant du partage n'est en revanche pas suffisante. Le partage des prestations de sortie n'a en effet pas pour but d'assurer un niveau de vie semblable aux ex-conjoints, par opposition à ce qui prévaut en matière d'entretien après le divorce (PICHONNAZ, CR CC, n. 28 ad art. 124b).</w:t>
      </w:r>
    </w:p>
    <w:p>
      <w:r>
        <w:t>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Une exception au partage par moitié en raison de la différence d'âge ne peut dès lors être admise que si les époux ont des revenus et des perspectives de prestations de vieillesse futures comparables (arrêts du Tribunal fédéral 5A_483/2023 du 29 octobre 2024 consid. 4.2.2 et 5A_153/2019 du 3 septembre 2019 consid. 6.3.2).</w:t>
      </w:r>
    </w:p>
    <w:p>
      <w:r>
        <w:t>Le principe d'un partage par moitié des prétentions de prévoyance professionnelle des époux doit en définitive guider le juge, l'art. 124b CC étant une disposition</w:t>
      </w:r>
    </w:p>
    <w:p>
      <w:r>
        <w:t>- 22/25 -</w:t>
      </w:r>
    </w:p>
    <w:p>
      <w:r>
        <w:t>C/25341/2021 d'exception. Cependant, il ne s'agit nullement d'appliquer le principe précité de manière automatique; il faut tenir compte des circonstances du cas d'espèce et se prononcer en équité (arrêts du Tribunal fédéral 5A_483/2023 précité consid. 4.3; 5A_469/2023 précité consid. 5.1; Message LPP du 29 mai 2013, FF 2013 4341, p. 4355; LEUBA, Le nouveau droit du partage de la prévoyance professionnelle en cas de divorce, in FamPra.ch 2017 p. 14).</w:t>
      </w:r>
    </w:p>
    <w:p>
      <w:r>
        <w:t>Le juge dispose en la matière d'un large pouvoir d'appréciation dans l'application de l'art. 124b CC (ATF 145 III 56 consid. 5.1 et 6; arrêt du Tribunal fédéral 5A_483/2023 précité consid. 4.3).</w:t>
      </w:r>
    </w:p>
    <w:p>
      <w:r>
        <w:rPr>
          <w:b/>
        </w:rPr>
        <w:t>E. 6.2</w:t>
      </w:r>
    </w:p>
    <w:p>
      <w:r>
        <w:t>En l'espèce, à l'instar du premier juge, la Cour relève qu'une différence d'âge, fût-elle de douze ans, n'est pas suffisante en elle-même pour justifier une renonciation au partage par moitié. Encore faut-il que le partage s'avère inéquitable.</w:t>
      </w:r>
    </w:p>
    <w:p>
      <w:r>
        <w:t>Compte tenu du fait que l'intimée a également cotisé à la prévoyance professionnelle durant le mariage, c'est finalement une somme de 64'449 fr. 15 que l'appelant sera amené à verser à l'intimée au titre du partage des avoirs de prévoyance professionnelle. En effet, au jour du dépôt de la demande en mariage, l'appelant disposait d'une prestation de libre passage d'un montant total de 586'742 fr. 55, qui serait ramenée à 522'293 fr. 40 en cas de partage par moitié (586'742 fr. 55 – 64'449 fr. 15). La prestation de libre passage de l'intimée, d'un montant total de 171'931 fr. 70, serait portée à 236'380 fr. 55 en cas de partage par moitié. Le partage induirait donc le transfert d'un montant de 64'449 fr. 15. La réduction d'un tel montant des avoirs de l'appelant n'aura pas pour conséquence de mettre en péril ses besoins de prévoyance puisqu'il disposera encore d'un capital de plus de 500'000 fr. Sa prévoyance sera donc suffisante, même s'il ne reconstitue pas une partie de la somme versée à l'intimée après le divorce, de sorte que la question de savoir à quel taux d'activité il travaille ou travaillera à l'avenir n'est pas pertinente, étant encore relevé que l'appelant n'a pas rendu vraisemblable qu'il percevra une rente partielle de l'AVS. Compte tenu de ce qui précède, il ne peut être retenu que l'appelant subirait un désavantage flagrant par rapport à l'intimée en cas de partage par moitié, raison pour laquelle c'est à juste titre que le Tribunal a ordonné le partage des avoirs de prévoyance. Par conséquent, le jugement entrepris sera confirmé sur ce point et l'appelant sera débouté de ses conclusions.</w:t>
      </w:r>
    </w:p>
    <w:p>
      <w:r>
        <w:t>- 23/25 -</w:t>
      </w:r>
    </w:p>
    <w:p>
      <w:r>
        <w:t>C/25341/2021</w:t>
      </w:r>
    </w:p>
    <w:p>
      <w:r>
        <w:rPr>
          <w:b/>
        </w:rPr>
        <w:t>E. 7.1</w:t>
      </w:r>
    </w:p>
    <w:p>
      <w:r>
        <w:t>Lorsque l'instance d'appel statue à nouveau, elle se prononce sur les frais de la première instance (art. 318 al. 3 CPC). En l'espèce,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rPr>
          <w:b/>
        </w:rPr>
        <w:t>E. 7.2</w:t>
      </w:r>
    </w:p>
    <w:p>
      <w:r>
        <w:t>Selon l'art. 106 CPC, les frais sont mis à la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w:t>
      </w:r>
    </w:p>
    <w:p>
      <w:r>
        <w:t>En l'espèce, les frais judiciaires d'appel seront arrêtés à 6'000 fr. (art. 30 et 35 RTFMC). Aucune des parties n'ayant obtenu entièrement gain de cause et vu la nature du litige, ils seront mis par moitié à la charge de chacune d'elles (art. 95, 104 al. 1, 105, 106 al. 1 et 107 al. 1 let. c CPC).</w:t>
      </w:r>
    </w:p>
    <w:p>
      <w:r>
        <w:t>La part des frais de l'appelant, de 3'000 fr., sera compensée avec l'avance de frais versée par celui-ci, de 6'000 fr., laquelle demeure entièrement acquise à l'Etat de Genève (art. 111 al. 1 CPC). L'intimée sera, par conséquent, condamnée à verser 3'000 fr. à l'appelant à titre de remboursement des frais judiciaires d'appel.</w:t>
      </w:r>
    </w:p>
    <w:p>
      <w:r>
        <w:t>Compte tenu de la nature familiale du litige, chaque partie supportera ses propres dépens d'appel (art. 107 al. 1 let. c CPC). * * * * *</w:t>
      </w:r>
    </w:p>
    <w:p>
      <w:r>
        <w:t>- 24/25 -</w:t>
      </w:r>
    </w:p>
    <w:p>
      <w:r>
        <w:t>C/25341/2021 PAR CES MOTIFS, La Chambre civile : A la forme : Déclare recevable l'appel interjeté le 1er février 2024 par A______ contre le jugement JTPI/14029/2023 rendu le 28 novembre 2023 par le Tribunal de première instance dans la cause C/25341/2021. Au fond : Annule les chiffres 5 et 18 du dispositif du jugement entrepris et statuant à nouveau sur ces points : Instaure une garde alternée sur l'enfant C______, qui s'exercera selon les modalités suivantes, sauf accord contraire des parties : - une semaine sur deux l'enfant sera sous la garde du père du mercredi à 10h au vendredi à 12h00 et de la mère du vendredi à 12h00 au mercredi à 18h00 - une semaine sur deux l'enfant sera sous la garde du père du mercredi à 18h au lundi à 12h00 et de la mère du lundi à 12h00 au mercredi à 10h - les jours fériés et les vacances scolaires sont répartis par moitié entre les parties. Condamne B______ à verser à A______ le montant de 72'537 fr. 50 à titre de liquidation du régime matrimonial. Confirme le jugement entrepris pour le surplus. Déboute les parties de toutes autres conclusions. Sur les frais : Arrête les frais judiciaires d'appel à 6'000 fr. et les met à la charge des parties pour moitié chacune et compense la part de A______ avec l'avance fournie par lui, laquelle demeure entièrement acquise à l'Etat de Genève. Condamne B______ à verser à A______ 3'000 fr. à titre de remboursement des frais judiciaires d'appel.</w:t>
      </w:r>
    </w:p>
    <w:p>
      <w:r>
        <w:t>- 25/25 -</w:t>
      </w:r>
    </w:p>
    <w:p>
      <w:r>
        <w:t>C/25341/2021</w:t>
      </w:r>
    </w:p>
    <w:p>
      <w:r>
        <w:t>Dit que chaque partie supporte ses propres dépens d'appel. Siégeant : Madame Jocelyne DEVILLE-CHAVANNE, présidente; Madame Verena PEDRAZZINI RIZZI, Madame Nathalie LANDRY-BARTHE,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