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ACJC/332/2016 vom 9. September 2015</w:t>
      </w:r>
    </w:p>
    <w:p>
      <w:r>
        <w:t>GE Cour de justice, 2015-09-09, FR</w:t>
      </w:r>
    </w:p>
    <w:p>
      <w:r>
        <w:rPr>
          <w:b/>
        </w:rPr>
        <w:t xml:space="preserve">Quelle: </w:t>
      </w:r>
      <w:r>
        <w:t>https://mcp.opencaselaw.ch/entscheid/ge_gerichte_ACJC_332_2016</w:t>
      </w:r>
    </w:p>
    <w:p>
      <w:r>
        <w:t>FR: GE_GERICHTE ACJC/332/2016 du 9 septembre 2015</w:t>
      </w:r>
    </w:p>
    <w:p>
      <w:r>
        <w:t>IT: GE_GERICHTE ACJC/332/2016 del 9 settembre 2015</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dans la mesure où elles sont destinées à établir la situation financière des parents, qui influe sur la contribution d'entretien à payer pour l'entretien de l'enfant.</w:t>
      </w:r>
    </w:p>
    <w:p>
      <w:r>
        <w:rPr>
          <w:b/>
        </w:rPr>
        <w:t>E. 2</w:t>
      </w:r>
    </w:p>
    <w:p>
      <w:r>
        <w:t>L'appelant invoque qu'il a recherché en vain un emploi de comptable. Il n'avait trouvé qu'un emploi d'agent de sécurité à 60%. Il aurait toutefois préféré occuper un poste de comptable ou d'employé de commerce, pour lequel il gagnerait davantage, qui serait moins précaire et moins dangereux. Il ne pouvait être contraint de garder un salaire de comptable le restant de sa vie et il était libre de choisir sa profession. Avoir un emploi à temps partiel lui donnait par ailleurs du</w:t>
      </w:r>
    </w:p>
    <w:p>
      <w:r>
        <w:t>- 5/9 -</w:t>
      </w:r>
    </w:p>
    <w:p>
      <w:r>
        <w:t>C/3703/2015 temps pour s'occuper de sa fille, ce qui était positif pour celle-ci. Un revenu brut de 4'000 fr. devrait être pris en compte pour calculer la contribution d'entretien, de sorte que cette dernière devrait être fixée à 500 fr. Il ajoute par ailleurs, en post- scriptum, diverses considérations sur la garde des enfants par le père, estimant qu'une garde alternée est positive et que la contribution d'entretien devrait être payée par les deux parents.</w:t>
      </w:r>
    </w:p>
    <w:p>
      <w:r>
        <w:rPr>
          <w:b/>
        </w:rPr>
        <w:t>E. 2.1.1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p. 339 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w:t>
      </w:r>
    </w:p>
    <w:p>
      <w:r>
        <w:rPr>
          <w:b/>
        </w:rPr>
        <w:t>E. 2.1.2</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 arrêt du Tribunal fédéral 5A_959/2013 du 1er octobre 2014 consid. 9.2.2). La loi ne prescrit pas de méthode de calcul particulière pour arrêter la contribution d'entretien (ATF 128 III 411 consid. 3.2.2 p. 414 s.); sa fixation relève de</w:t>
      </w:r>
    </w:p>
    <w:p>
      <w:r>
        <w:t>- 6/9 -</w:t>
      </w:r>
    </w:p>
    <w:p>
      <w:r>
        <w:t>C/3703/2015 l'appréciation du juge, qui jouit d'un large pouvoir d'appréciation (ATF 127 III 136 consid. 3a p. 141; 120 II 285 consid. 3b/bb p. 291; arrêt 5A_507/2007 du 23 avril 2008 consid. 5.1) et applique les règles du droit et de l'équité (art. 4 CC; 127 III 136 consid. 3a p. 141).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5A_662/2013 du 24 juin 2014 consid. 3.2.1; 5A_587/2013 du 26 novembre 2013 consid. 6.1.1 in fine et les références).</w:t>
      </w:r>
    </w:p>
    <w:p>
      <w:r>
        <w:rPr>
          <w:b/>
        </w:rPr>
        <w:t>E. 2.2</w:t>
      </w:r>
    </w:p>
    <w:p>
      <w:r>
        <w:t>En l'espèce, l'appelant n'occupe plus le poste de comptable qu'il avait lorsque la transaction fixant le montant de la contribution d'entretien en faveur de l'intimée a été conclue. Il s'agit d'un fait nouveau, important et durable, qui nécessite que le montant de la contribution d'entretien soit réexaminé. Dans la mesure où l'appelant n'obtenait déjà pas le revenu mensuel brut de 8'995 fr. retenu par le Tribunal lorsqu'il était comptable, il paraît difficile de prendre en compte un tel montant. De plus, s'il doit certes être imposé au débiteur d'une contribution d'entretien qu'il fasse tous les efforts qui peuvent être exigés de lui pour s'acquitter de ses obligations d'entretien et, si tel n'est pas le cas, lui imputer un revenu hypothétique, il peut également être imposé au débiteur, le cas</w:t>
      </w:r>
    </w:p>
    <w:p>
      <w:r>
        <w:t>- 7/9 -</w:t>
      </w:r>
    </w:p>
    <w:p>
      <w:r>
        <w:t>C/3703/2015 échéant, d'élargir son champ de recherche d'emploi à d'autres domaines que celui dans lequel il était actif avant de perdre son emploi, quitte à ce qu'il accepte un poste moins qualifié. On ne discerne pas quel aurait été l'avantage pour l'appelant, s'il avait eu le choix, de prendre un emploi dans le domaine de la sécurité plutôt que dans celui dans lequel il disposait d'une formation, de sorte qu'il ne peut lui être fait grief, en soi, d'avoir changé de domaine d'activité. L'appelant indique qu'il perçoit un revenu de base de 2'113 fr. 72 bruts, voire 2'500 fr. bruts avec des heures supplémentaires. Il n'explique cependant pas comment il est en mesure de s'acquitter, avec un tel revenu, des charges qu'il a alléguées, d'un montant mensuel de 2'900 fr. Il doit dès lors être admis qu'il perçoit un revenu supérieur au salaire de base mentionné dans son contrat de travail. Il déclare d'ailleurs lui-même aux termes de son appel qu'un montant de 4'000 fr. bruts devrait être pris en compte, sans toutefois expliquer comment il le calcule, ce qui tend à démontrer que les montants de base de 2'113 fr. ou celui de 2'500 fr. avec des heures supplémentaires ne sont pas pertinents pour calculer la capacité de gain de l'appelant. De plus, le salaire de base indiqué correspond à un taux d'occupation de 60% environ selon les explications de l'appelant. Ce dernier n'allègue pas qu'il occupait un poste à temps partiel lorsque la transaction du 29 mars 2012 a été conclue. Il n'a pas davantage rendu vraisemblable que son employeur actuel ne serait pas en mesure de lui fournir du travail supplémentaire. Ainsi, compte tenu de ses obligations d'entretien, il peut être exigé de l'appelant qu'il augmente son taux d'activité. Selon le calculateur de salaire en ligne de l'Observatoire genevois du marché du travail (OGMT), le salaire mensuel médian est de 4'870 fr. bruts pour 40 heures de travail par semaine dans le domaine de la sécurité pour un employé né en 1964, sans formation ou fonction particulières, ce qui représente environ 4'150 fr. nets. Compte tenu d'un tel revenu et de charges estimées à 2'900 fr., le disponible de l'appelant, qui peut donc être évalué à 1'250 fr., lui permet de s'acquitter, sans entamer son minimum vital, de la contribution d'entretien de 750 fr. jusqu'à 10 ans révolus, puis de 950 fr. par la suite. L'appelant ne soutient pas que ces montants seraient supérieurs aux besoins de l'enfant, étant relevé que ces derniers peuvent être évalués, en se fondant sur les "Recommandations pour la fixation des contributions d'entretien des enfants" éditées en 2016 par l'Office de la jeunesse du canton de Zurich, à environ 1'000 fr. pour un enfant de un à six ans, après déduction des frais pour les soins et l'éducation et des allocations familiales (1'999 fr. – 716 fr. – 300 fr. = 983 fr.), respectivement à 1'150 fr. pour un enfant de sept à douze ans (1'900 fr. – 454 fr. – 300 fr. = 1'146 fr.). Le jugement entrepris sera dès lors confirmé.</w:t>
      </w:r>
    </w:p>
    <w:p>
      <w:r>
        <w:t>- 8/9 -</w:t>
      </w:r>
    </w:p>
    <w:p>
      <w:r>
        <w:t>C/3703/2015</w:t>
      </w:r>
    </w:p>
    <w:p>
      <w:r>
        <w:rPr>
          <w:b/>
        </w:rPr>
        <w:t>E. 3</w:t>
      </w:r>
    </w:p>
    <w:p>
      <w:r>
        <w:t>Les frais judiciaires d'appel seront arrêtés à 1'125 fr. (art. 32 et 35 du Règlement fixant le tarif des frais en matière civile, RTFMC - E 1 05.10) et mis à la charge de l'appelant, qui succombe (art. 106 al. 1 CPC). Il n'y a pas lieu d'allouer de dépens à l'intimée, qui comparaît en personne et n'a pas répondu à l'appel. * * * * *</w:t>
      </w:r>
    </w:p>
    <w:p>
      <w:r>
        <w:t>- 9/9 -</w:t>
      </w:r>
    </w:p>
    <w:p>
      <w:r>
        <w:t>C/3703/2015 PAR CES MOTIFS, La Chambre civile : A la forme : Déclare recevable l'appel interjeté par A______ contre le jugement JTPI/10297/2015 rendu le 9 septembre 2015 par le Tribunal de première instance dans la cause C/3703/2015-8. Au fond : Confirme ce jugement. Déboute les parties de toutes autres conclusions. Sur les frais : Arrête les frais judiciaires d'appel à 1'125 fr., les met à la charge de A_______ et dit qu'ils sont compensés avec l'avance fournie, qui reste acquise à l'Etat de Genève.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