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ACJC/331/2020 vom 24. Februar 2020</w:t>
      </w:r>
    </w:p>
    <w:p>
      <w:r>
        <w:t>GE Cour de justice, 2020-02-24, FR</w:t>
      </w:r>
    </w:p>
    <w:p>
      <w:r>
        <w:rPr>
          <w:b/>
        </w:rPr>
        <w:t xml:space="preserve">Quelle: </w:t>
      </w:r>
      <w:r>
        <w:t>https://mcp.opencaselaw.ch/entscheid/ge_gerichte_ACJC_331_2020</w:t>
      </w:r>
    </w:p>
    <w:p>
      <w:r>
        <w:t>FR: GE_GERICHTE ACJC/331/2020 du 24 février 2020</w:t>
      </w:r>
    </w:p>
    <w:p>
      <w:r>
        <w:t>IT: GE_GERICHTE ACJC/331/2020 del 24 febbraio 2020</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5A_837/2017 du 27 février 2018 consid. 1). Il est donc recevable.</w:t>
      </w:r>
    </w:p>
    <w:p>
      <w:r>
        <w:rPr>
          <w:b/>
        </w:rPr>
        <w:t>E. 2</w:t>
      </w:r>
    </w:p>
    <w:p>
      <w:r>
        <w:t>Les parties, qui sont de nationalité étrangère, sont domiciliées à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w:t>
      </w:r>
    </w:p>
    <w:p>
      <w:r>
        <w:t>- 6/14 -</w:t>
      </w:r>
    </w:p>
    <w:p>
      <w:r>
        <w:t>C/27237/2018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4</w:t>
      </w:r>
    </w:p>
    <w:p>
      <w:r>
        <w:t>Les parties ont produit des pièces nouvelles à l'appui de leurs écritures respectives.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4.2</w:t>
      </w:r>
    </w:p>
    <w:p>
      <w:r>
        <w:t>En l'espèce, les pièces nouvelles produites par les parties sont pertinentes pour déterminer notamment les contributions dues à l'entretien de leur enfant mineur. A ce titre, ces pièces sont recevables, ce qui n'est pas contesté.</w:t>
      </w:r>
    </w:p>
    <w:p>
      <w:r>
        <w:rPr>
          <w:b/>
        </w:rPr>
        <w:t>E. 5</w:t>
      </w:r>
    </w:p>
    <w:p>
      <w:r>
        <w:t>L'appelant reproche au Tribunal d'avoir mal estimé son revenu ainsi que les charges de la famille.</w:t>
      </w:r>
    </w:p>
    <w:p>
      <w:r>
        <w:rPr>
          <w:b/>
        </w:rPr>
        <w:t>E. 5.1</w:t>
      </w:r>
    </w:p>
    <w:p>
      <w:r>
        <w:t>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t>- 7/14 -</w:t>
      </w:r>
    </w:p>
    <w:p>
      <w:r>
        <w:t>C/27237/2018</w:t>
      </w:r>
    </w:p>
    <w:p>
      <w:r>
        <w:rPr>
          <w:b/>
        </w:rPr>
        <w:t>E. 5.1.1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 le juge du fait en tient compte dans l'exercice de son large pouvoir d'appréciation (ATF 144 III 481 consid. 4.7.9). De plus, si les parents faisaient ménage commun, il convient de se fonder sur l'organisation familiale qui prévalait avant la séparation (principe de la continuité), étant toutefois précisé que le modèle de répartition des tâches antérieurement suivi ne peut être perpétué indéfiniment (ATF 144 III 481 consid. 4.5-4.6; arrêt du Tribunal fédéral 5A_889/2018 du 15 mai 2019 consid. 3.2.2).</w:t>
      </w:r>
    </w:p>
    <w:p>
      <w:r>
        <w:rPr>
          <w:b/>
        </w:rPr>
        <w:t>E. 5.1.2</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w:t>
      </w:r>
    </w:p>
    <w:p>
      <w:r>
        <w:t>- 8/14 -</w:t>
      </w:r>
    </w:p>
    <w:p>
      <w:r>
        <w:t>C/27237/2018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w:t>
      </w:r>
    </w:p>
    <w:p>
      <w:r>
        <w:rPr>
          <w:b/>
        </w:rPr>
        <w:t>E. 5.1.3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consid. 2; 123 III 1 consid. 3b/bb et consid. 5 in fine; arrêt du Tribunal fédéral 5A_662/2013 du 24 juin 2014 consid. 3.2.1).</w:t>
      </w:r>
    </w:p>
    <w:p>
      <w:r>
        <w:rPr>
          <w:b/>
        </w:rPr>
        <w:t>E. 5.1.4</w:t>
      </w:r>
    </w:p>
    <w:p>
      <w:r>
        <w:t>Selon la méthode du minimum vital avec répartition de l'excédent, il convient de prendre comme point de départ pour calculer les besoins des parties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p. 339; arrêts du Tribunal fédéral 5A_1029/2015 du 1er juin 2016 consid. 3.3.1.3; 5A_876/2014 du 3 juin 2015 consid. 3.3). S'y ajoutent les frais de logement, la prime d'assurance maladie de base, les frais de transports publics ainsi que d'autres frais effectifs indispensables (GAURON-CARLIN, in REISER/ GAURON-CARLIN, La procédure matrimoniale, 2019, p. 73). En cas de situation économique favorable, il est en revanche admissible de tenir compte d'autres dépenses effectives, non strictement nécessaires (ATF 140 III 337 consid. 4.2.3 p. 339, arrêt du Tribunal fédéral 5A_1029/2015 du 1er juin 2016 consid. 3.3.1.3; BASTONS BULLETTI, L'entretien après divorce : Méthodes de</w:t>
      </w:r>
    </w:p>
    <w:p>
      <w:r>
        <w:t>- 9/14 -</w:t>
      </w:r>
    </w:p>
    <w:p>
      <w:r>
        <w:t>C/27237/2018 calcul, montant, durée et limites, in SJ 2007 III p. 84). Si les coûts de base de chaque membre de la famille semblent pouvoir être couverts par les revenus des époux, il est ainsi possible d'ajouter à cette somme certains montants additionnels nécessaires, tels que les primes d'assurances non obligatoires (RC privée, ménage, complémentaires santé), la charge fiscale de l'année sur laquelle les époux sont taxés au moment de la décision ou des versements qui constituent de l'épargne, ainsi les cotisations au 3ème pilier ou à des assurances vie (ATF 140 III 337 consid. 4.2.3 p. 339; GAURON-CARLIN, op. cit., p. 73; BASTONS BULLETTI, op. cit., p. 90 s.). Si la situation économique des époux est particulièrement favorable, le juge peut prendre en considération encore plus largement d'autres dépenses effectives, non strictement nécessaires, tel que le remboursement d'une dette. Lorsque la situation financière des parties le permet, une dette peut ainsi être prise en considération dans le calcul du minimum vital du droit de la famille si elle a été assumée avant la fin du ménage commun aux fins de l'entretien des deux époux, ou lorsque ceux- ci en répondent solidairement (ATF 127 III 289 consid. 2a/bb p. 292 et les références; arrêts 5A_1029/2015 du 1er juin 2016 consid. 3.3.1.3; 5A_619/2013 du</w:t>
      </w:r>
    </w:p>
    <w:p>
      <w:r>
        <w:rPr>
          <w:b/>
        </w:rPr>
        <w:t>E. 5.1.5</w:t>
      </w:r>
    </w:p>
    <w:p>
      <w:r>
        <w:t>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du premier juge (arrêts du Tribunal fédéral 5A_804/2018 du 18 janvier 2019, consid. 3.2; 5A_403/2016 du 24 février 2017 consid. 4.2.2; 4A_258/2015 du 21 octobre 2015 consid. 2.4.2 et les références citées).</w:t>
      </w:r>
    </w:p>
    <w:p>
      <w:r>
        <w:rPr>
          <w:b/>
        </w:rPr>
        <w:t>E. 5.1.6</w:t>
      </w:r>
    </w:p>
    <w:p>
      <w:r>
        <w:t>Le tribunal ne peut accorder à une partie ni plus ni autre chose que ce qui est demandé, ni moins que ce qui est reconnu par la partie adverse, les dispositions prévoyant que le tribunal n'est pas lié par les conclusions des parties étant réservées (art. 58 CPC).</w:t>
      </w:r>
    </w:p>
    <w:p>
      <w:r>
        <w:rPr>
          <w:b/>
        </w:rPr>
        <w:t>E. 5.2</w:t>
      </w:r>
    </w:p>
    <w:p>
      <w:r>
        <w:t>En l'espèce, les parties ne remettent pas en cause l'application de la méthode dite du minimum vital avec répartition de l'excédent appliquée par le Tribunal, de sorte que la Cour en fera application.</w:t>
      </w:r>
    </w:p>
    <w:p>
      <w:r>
        <w:rPr>
          <w:b/>
        </w:rPr>
        <w:t>E. 5.2.1</w:t>
      </w:r>
    </w:p>
    <w:p>
      <w:r>
        <w:t>L'appelant critique en premier lieu le montant de ses revenus retenu par le Tribunal. L'intimée soutient qu'un revenu hypothétique de 10'851 fr. pourrait lui être imputé, celui-ci n'ayant pas démontré avoir effectué des recherches d'emploi suffisantes.</w:t>
      </w:r>
    </w:p>
    <w:p>
      <w:r>
        <w:t>- 10/14 -</w:t>
      </w:r>
    </w:p>
    <w:p>
      <w:r>
        <w:t>C/27237/2018 L'appelant est en l'état sans emploi, mais bénéficie d'indemnités de chômage. Celles-ci sont calculées en fonction du nombre de jours contrôlés par mois et sont par conséquent variables. Le Tribunal n'a pas tenu compte de ces variations mensuelles, retenant uniquement le décompte de juillet 2019 de la caisse de chômage J______. Le montant variant en fonction du nombre de jours de travail par mois, il convient de retenir le nombre de jours de travail moyen par mois, soit 21.70 jours de travail, pour déterminer le revenu de l'appelant, lequel est donc de 9'100 fr. bruts arrondis (21.7 x 419 fr. 35), soit environ 8'200 fr. nets. Contrairement à ce que soutient l'appelant le montant journalier de 419 fr. 35 ne comprend pas les allocations familiales, de sorte qu'il n'y a pas lieu de déduire 300 fr. à ce titre du montant précité de 8'200 fr. nets par mois.</w:t>
      </w:r>
    </w:p>
    <w:p>
      <w:r>
        <w:rPr>
          <w:b/>
        </w:rPr>
        <w:t>E. 5.2.2</w:t>
      </w:r>
    </w:p>
    <w:p>
      <w:r>
        <w:t>L'appelant reproche au Tribunal de ne pas avoir tenu compte, au titre de ses charges, de toutes les primes de l'assurance-vie auxquelles il a souscrit, soit 933 fr. au lieu de 561 fr. Tout d'abord, une prime d'assurance-vie n'est pas une charge mais constitue de l'épargne, dont il ne peut être tenu compte qu'en cas de situation financière favorable. Ensuite, seule la prime payée à la H______ est rendue vraisemblable. Les autres montants prétendument versés au titre de prime d'assurance-vie ne sont pas rendus vraisemblables, les pièces produites à cet égard étant insuffisantes. Avec un revenu de 8'200 fr., la situation financière de l'appelant n'est pas suffisamment aisée pour qu'il puisse être tenu compte de ce montant de 561 fr. Celui-ci doit en conséquence être écarté.</w:t>
      </w:r>
    </w:p>
    <w:p>
      <w:r>
        <w:rPr>
          <w:b/>
        </w:rPr>
        <w:t>E. 5.2.3</w:t>
      </w:r>
    </w:p>
    <w:p>
      <w:r>
        <w:t>L'intimée reproche au Tribunal d'avoir retenu dans les charges de l'appelant la somme de 312 fr. au titre de remboursement d'un prêt. L'appelant n'a pas démontré le but familial de ce prêt étant relevé que celui-ci a été conclu en janvier 2018 soit après la séparation des parties. Compte tenu de la situation financière serrée des parties, et afin que la contribution à l'entretien de l'intimée ne soit pas réduite au-delà des conclusions de cette dernière, il convient également d'écarter des charges de l'appelant le montant de 312 fr. retenu par le Tribunal au titre de remboursement d'un prêt. Ainsi, les charges de l'appelant totalisent 4'147 fr. (5'020 fr. – 561 fr. – 312 fr.).</w:t>
      </w:r>
    </w:p>
    <w:p>
      <w:r>
        <w:rPr>
          <w:b/>
        </w:rPr>
        <w:t>E. 5.2.4</w:t>
      </w:r>
    </w:p>
    <w:p>
      <w:r>
        <w:t>L'appelant ne conteste pas les charges de l'enfant de 815 fr. (1'115 fr. – 300 fr. d'allocations familiales) retenues par le Tribunal, mais souhaite que les subsides d'assurance-maladie perçus depuis janvier 2019 viennent en déduction de ce montant.</w:t>
      </w:r>
    </w:p>
    <w:p>
      <w:r>
        <w:t>- 11/14 -</w:t>
      </w:r>
    </w:p>
    <w:p>
      <w:r>
        <w:t>C/27237/2018 L'intimée a produit des pièces dont il ressort qu'elle touche 100 fr. de subsides pour D______ et 70 fr. pour elle-même. Ces montants doivent venir en déduction de leurs charges respectives qui s'élèvent dès lors à 715 fr et 2'580 fr. Le revenu hypothétique de 2'300 fr. imputé par le Tribunal à l'intimée ne faisant pas l'objet d'un appel, il sera confirmé. La part non couverte des charges de l'intimée dès le 1er avril 2020 sera dès lors de 280 fr. (2'300 fr. – 2'580 fr.). Ainsi, la contribution d'entretien de D______ s'élève, jusqu'au 31 mars 2020, à 3'295 fr., soit 715 fr. de coûts directs et 2'580 fr. de contribution de prise en charge. Dès le 1er avril 2020, cette somme sera de 995 fr., soit 715 fr. de coûts directs et 280 fr. de contribution de prise en charge. Au vu de ce qui précède, le solde actuellement disponible du couple s'élève à 758 fr. jusqu'au 1er avril 2020 (8'200 fr. – 4'147 fr. – 3'295 fr.), puis à 3'058 fr. (8'200 fr. – 4'147 fr. – 995 fr.). La répartition par moitié du solde disponible permet d'établir à 379 fr. puis à 1'529 fr. dès le 1er avril 2020, la contribution pour l'entretien de l'intimée. Dans la mesure où celle-ci n'a pas fait appel du montant de 276 fr. qui lui a été attribué par le premier juge à titre de contribution à son entretien jusqu'au 31 mars 2020, et où elle a conclu à l'allocation d'une contribution de 920 fr. dès le 1er septembre 2019 dans ses dernières conclusions de première instance, ce sont ces deux montants qui seront retenus. C'est le lieu de relever que le Tribunal a statué ultra petita en allouant à l'intimée la somme de 1'426 fr. dès le 1er avril 2020, ce qui n'est pas admissible. Il n'y a pas lieu d'examiner les arguments de l'intimée relatifs au revenu hypothétique de l'appelant et à la prise en charge d'un montant inférieur d'impôt dans les charges de ce dernier, car même à les admettre, cela ne permettrait de toute façon pas d'aboutir à une solution différente, la Cour ne pouvant encore une fois statuer ultra petita. Le jugement entrepris sera ainsi modifié dans le sens qui précède. 6. Les frais judiciaires d'appel seront fixés à 2'000 fr. (art. 31 et 37 du Règlement du 22 décembre 2010 fixant le tarif des frais en matière civile, [RTFMC - E 1 05.10]) et mis à la charge des parties pour moitié chacune, compte tenu de l'issue et de la nature familiale du litige (art. 95 et 107 al. 1 let. c CPC). L'intimée étant au bénéfice de l'assistance juridique, sa part des frais judiciaires sera provisoirement supportée par l'État de Genève, lequel pourra en réclamer le remboursement ultérieurement (art. 122 al. 1 let. b et 123 CPC; art. 19 du</w:t>
      </w:r>
    </w:p>
    <w:p>
      <w:r>
        <w:t>- 12/14 -</w:t>
      </w:r>
    </w:p>
    <w:p>
      <w:r>
        <w:t>C/27237/2018 Règlement sur l'assistance juridique et l'indemnisation des conseils juridiques et défenseurs d'office en matière civile, administrative et pénale [RAJ - RS/GE E 2 05.04]). L'appelant n'est pas au bénéfice de l'assistance juridique dans le cadre du présent appel. Sa part des frais judiciaires est compensée avec l'avance de frais du même montant qu'il a versée et qui demeure acquise à l'Etat de Genève (art. 111 al. 1 CPC). Enfin, les parties conserveront à leur charge leurs propres dépens d'appel (art. 107 al. 1 let. c CPC). 7. Le présent arrêt, qui statue sur mesures provisionnelles, est susceptible d'un recours en matière civile, les moyens étant limités en application de l'art. 98 LTF. * * * * *</w:t>
      </w:r>
    </w:p>
    <w:p>
      <w:r>
        <w:t>- 13/14 -</w:t>
      </w:r>
    </w:p>
    <w:p>
      <w:r>
        <w:t>C/27237/2018 PAR CES MOTIFS, La Chambre civile : A la forme : Déclare recevable l'appel interjeté le 30 septembre 2019 par A______ contre le jugement JTPI/12942/2019 rendu le 18 septembre 2019 par le Tribunal de première instance dans la cause C/27237/2018-20. Au fond : Annule les chiffres 6 et 7 du dispositif de ce jugement, et, cela fait, statuant à nouveau : Condamne A______ à payer à B______, par mois et d'avance, la somme de 3'295 fr. jusqu'au 31 mars 2020 et, à compter du 1er avril 2020, la somme de 995 fr. à titre de contribution à l'entretien de D______. Condamne A______ à payer à B______, par mois et d'avance, la somme de 276 fr. jusqu'au 31 mars 2020 et de 920 fr. dès le 1er avril 2020 à titre de contribution pour son entretien. Déboute les parties de toutes autres conclusions. Sur les frais : Arrête les frais judiciaires d'appel à 2'000 fr. et les met à la charge des parties à raison d'une moitié chacune. Dit que les frais de 1'000 fr. à la charge de B______ sont provisoirement supportés par l'État de Genève. Dit que les frais de 1'000 fr. à la charge de A______ sont compensés à due concurrence avec l'avance de frais fournie, qui reste acquise à l'Etat de Genève.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- 14/14 -</w:t>
      </w:r>
    </w:p>
    <w:p>
      <w:r>
        <w:t>C/27237/2018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mars 2014 consid. 2.3.1; 5A_453/2009 du 9 novembre 2009 consid. 4.3.2 et les références; GAURON-CARLIN, op. cit., p.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