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ACJC/32/2018 vom 15. Januar 2018</w:t>
      </w:r>
    </w:p>
    <w:p>
      <w:r>
        <w:t>GE Cour de justice, 2018-01-15, FR</w:t>
      </w:r>
    </w:p>
    <w:p>
      <w:r>
        <w:rPr>
          <w:b/>
        </w:rPr>
        <w:t xml:space="preserve">Quelle: </w:t>
      </w:r>
      <w:r>
        <w:t>https://mcp.opencaselaw.ch/entscheid/ge_gerichte_ACJC_32_2018</w:t>
      </w:r>
    </w:p>
    <w:p>
      <w:r>
        <w:t>FR: GE_GERICHTE ACJC/32/2018 du 15 janvier 2018</w:t>
      </w:r>
    </w:p>
    <w:p>
      <w:r>
        <w:t>IT: GE_GERICHTE ACJC/32/2018 del 15 gennaio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est déterminée par les dernières conclusions de première instance (art. 91 al. 1 CPC; JEANDIN, Code de procédure civile commenté, Bâle, 2011, n. 13 ad art. 308 CPC).</w:t>
      </w:r>
    </w:p>
    <w:p>
      <w:r>
        <w:t>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les appelants ont estimé la valeur litigieuse au minimum à 31'800 fr. (5 ans x 6'360 fr.), calculée d'après la différence des loyers indiqués au DCTI dans les APA 3______ et APA 4______ sur la durée du bail à loyer, étant précisé que l'intimée ne l'a pas contestée.</w:t>
      </w:r>
    </w:p>
    <w:p>
      <w:r>
        <w:t>- 7/13 -</w:t>
      </w:r>
    </w:p>
    <w:p>
      <w:r>
        <w:t>C/13953/2016</w:t>
      </w:r>
    </w:p>
    <w:p>
      <w:r>
        <w:t>A teneur des mêmes paramètres, la Cour retient que la valeur litigieuse s'élève à plus de 41'340 fr. (6,5 ans x 6'360 fr.), de sorte qu'elle est supérieure à 10'000 fr. et la voie de l'appel est ainsi ouverte.</w:t>
      </w:r>
    </w:p>
    <w:p>
      <w:r>
        <w:rPr>
          <w:b/>
        </w:rPr>
        <w:t>E. 1.3</w:t>
      </w:r>
    </w:p>
    <w:p>
      <w:r>
        <w:t>Selon l'art. 311 CPC, l'appel écrit et motivé, est introduit auprès de l'instance d'appel dans les 30 jours à compter de la notification de la décision, laquelle doit être jointe au dossier.</w:t>
      </w:r>
    </w:p>
    <w:p>
      <w:r>
        <w:t>L'appel a été interjeté dans le délai et suivant la forme prescrits par la loi (art. 130, 131, 145 al. 1 let. a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à l'appui de sa réponse, l'intimée a produit trois pièces nouvelles. L'arrêt de la Cour de justice du ______ 2017 dans la cause C/1______ et l'arrêt du Tribunal fédéral 9______ du ______ 2017 sont recevables, dans la mesure où ils sont postérieurs au 24 février 2017, date à laquelle le Tribunal a gardé la cause à juger.</w:t>
      </w:r>
    </w:p>
    <w:p>
      <w:r>
        <w:t>Le jugement du Tribunal JTBL/2______ du ______ 2016 dans la cause C/1______ produit par l'intimée est certes antérieur à cette date, mais avait déjà été produit devant le Tribunal sous pièce 4 par la bailleresse. De plus, la mention exécutoire, figurant sur la dernière page de ce jugement, a été apposée en date du 12 avril 2017, soit postérieurement au 24 février 2017, de sorte que le jugement nouvellement produit muni de la mention est également recevable.</w:t>
      </w:r>
    </w:p>
    <w:p>
      <w:r>
        <w:t>La pièce 29 produite par les appelants à l'appui de leur réplique, à savoir l'extrait du Registre foncier de la rue F______ à Genève, est recevable, du fait qu'il s'agit d'un fait notoire. Les pièces n° 30 à 32 produites par les appelants sont irrecevables, car antérieures au 24 février 2017 et ces derniers n'ont pas expliqué en quoi ils auraient été empêchés de les produire déjà devant le Tribunal. Enfin, la pièce nouvellement produite n° 33 est recevable, en tant qu'il s'agit d'une requête formée postérieurement au 24 février 2017.</w:t>
      </w:r>
    </w:p>
    <w:p>
      <w:r>
        <w:t>- 8/13 -</w:t>
      </w:r>
    </w:p>
    <w:p>
      <w:r>
        <w:t>C/13953/2016</w:t>
      </w:r>
    </w:p>
    <w:p>
      <w:r>
        <w:rPr>
          <w:b/>
        </w:rPr>
        <w:t>E. 3.1</w:t>
      </w:r>
    </w:p>
    <w:p>
      <w:r>
        <w:t>Les appelants font griefs aux premiers juges d'avoir constaté inexactement les faits et violé leur droit d'être entendus en refusant d'ouvrir les enquêtes et en n'expliquant pas en quoi les faits allégués et les offres de preuve étaient inadéquats ou non pertinents. Ils soutiennent que ces griefs les ont empêchés de démontrer que l'intimée exerce une domination économique sur la société D______ INC. En effet, selon eux, l'intimée a par exemple été en mesure d'ordonner à cette société de conclure avec les appelants un contrat de bail à loyer portant sur un autre appartement de son immeuble. De plus, elle a spontanément versé à la procédure le bordereau d'impôt pour l'année 2011 de ladite société, alors qu'elle prétend n'avoir aucun lien avec elle. Enfin, le loyer indiqué dans le cadre des deux demandes d'autorisation de construire en procédure accélérée n'est pas correct, du fait que dans la première, il était indiqué que le loyer s'élevait à 24'000 fr. et que, dans la seconde, il découlait que le loyer principal s'élevait à 17'640 fr.</w:t>
      </w:r>
    </w:p>
    <w:p>
      <w:r>
        <w:rPr>
          <w:b/>
        </w:rPr>
        <w:t>E. 3.2</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références citées).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3.3</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w:t>
      </w:r>
    </w:p>
    <w:p>
      <w:r>
        <w:t>- 9/13 -</w:t>
      </w:r>
    </w:p>
    <w:p>
      <w:r>
        <w:t>C/13953/2016 et de droit retenus par le juge pour arriver au dispositif (TAPPY, Code de procédure civile commenté, Bâle, 2011, n. 7 ad art. 238 CPC).</w:t>
      </w:r>
    </w:p>
    <w:p>
      <w:r>
        <w:rPr>
          <w:b/>
        </w:rPr>
        <w:t>E. 3.4</w:t>
      </w:r>
    </w:p>
    <w:p>
      <w:r>
        <w:t>En l'espèce, c'est à raison que les premiers juges ont considéré que la cause était en état d'être jugée par une appréciation anticipée des preuves, les preuves et les faits de nature à influer sur le sort de la décision étant produites, respectivement établis. Il en découle que les fait indiqués par les appelants et non retenus par le Tribunal ne sont pas pertinents et les moyens de preuve proposés ne sont pas adéquats, ceux-ci n'étant pas de nature à ébranler la conviction du Tribunal sur la base des éléments déjà recueillis.</w:t>
      </w:r>
    </w:p>
    <w:p>
      <w:r>
        <w:t>En effet, les faits et les actes d'instruction requis par les appelants ne permettront pas d'arriver à la conclusion que l'intimée exerce une domination économique et/ou juridique sur la société D______ INC. Le Tribunal a retenu que l'intimée avait versé à la procédure le bordereau de taxation définitive de cette société pour l'année 2011. Contrairement à ce que soutiennent les appelants, par exemple, l'inexactitude éventuelle des loyers indiqués dans le cadre des deux demandes d'autorisation en procédure accélérée ou encore le fait non établi par les appelants que l'intimée ait été en mesure d'ordonner à cette société de conclure avec ces derniers un contrat de bail à loyer portant sur un autre appartement de son immeuble, ne sont pas des éléments de nature à remettre en cause la conviction de la Cour au sujet de l'absence de légitimation passive de l'intimée et ce, au vu des étroites relations entre les différents intervenants qui ne sauraient toutefois avoir pour conséquence d'appliquer le principe de la transparence dans ce cas d'espèce (cf. chiffre 4.4 ci-après).</w:t>
      </w:r>
    </w:p>
    <w:p>
      <w:r>
        <w:t>La motivation du Tribunal au sujet du refus d'administrer les preuves proposées par les appelants est suffisante. L'ordonnance du Tribunal du 30 janvier 2017, rejetant ces actes d'instruction, a détaillé expressément quels étaient ces actes, à savoir l'audition des représentants de la régie en charge de la gestion de l'immeuble, des membres du conseil de fondation de F______, d'anciens locataires et du père de l'intimée, et a indiqué brièvement les raisons de ce rejet.</w:t>
      </w:r>
    </w:p>
    <w:p>
      <w:r>
        <w:t>Le Tribunal a donc mentionné dans ladite ordonnance les motifs et les éléments pertinents de fait et de droit qui l'ont guidé et sur lesquels il a fondé sa décision. En outre, le Tribunal n'avait pas besoin de reprendre ceux-ci dans le cadre du jugement querellé, dès lors que dans leur plaidoirie finale du 24 février 2017 sur la légitimation passive de l'intimée, les appelants n'ont pas persisté à conclure expressément à des actes d'instruction particuliers. Enfin, les appelants ont été à même de comprendre les tenants et les aboutissants de la décision du Tribunal sur ce point, dans la mesure où ils l'ont contestée utilement.</w:t>
      </w:r>
    </w:p>
    <w:p>
      <w:r>
        <w:t>- 10/13 -</w:t>
      </w:r>
    </w:p>
    <w:p>
      <w:r>
        <w:t>C/13953/2016</w:t>
      </w:r>
    </w:p>
    <w:p>
      <w:r>
        <w:t>En conclusion, le droit d'être entendus des appelants n'a pas été violé et les faits ont été constatés de manière exacte. Le jugement querellé sera donc confirmé sur ce point.</w:t>
      </w:r>
    </w:p>
    <w:p>
      <w:r>
        <w:rPr>
          <w:b/>
        </w:rPr>
        <w:t>E. 4.1</w:t>
      </w:r>
    </w:p>
    <w:p>
      <w:r>
        <w:t>Les appelants font griefs aux premiers juges d'avoir violé le principe de la transparence ("Durchgriff").</w:t>
      </w:r>
    </w:p>
    <w:p>
      <w:r>
        <w:t>Ils soutiennent que l'intimée contrôle la société D______ INC notamment par le biais de relations familiales. C'est par exemple, selon eux, le père de l'intimée, qui s'occupe généralement de la gestion de l'immeuble de celle-ci, notamment dans le cadre des procédures d'autorisation de construire. L'intimée a été à même de produire des documents fiscaux relatifs à cette société. La sous-location de l'appartement en question à D______ INC aurait pu permettre au DCTI de fixer un montant du loyer après travaux plus élevé de ce qu'il aurait dû être conformément à la loi. Enfin, le loyer versé par les sous-locataires reviendrait directement à l'intimée. Le mécanisme de la sous-location serait donc utilisé abusivement.</w:t>
      </w:r>
    </w:p>
    <w:p>
      <w:r>
        <w:rPr>
          <w:b/>
        </w:rPr>
        <w:t>E. 4.2</w:t>
      </w:r>
    </w:p>
    <w:p>
      <w:r>
        <w:t>Lors d'une sous-location, le locataire et le sous-locataire sont liés par un contrat auquel s'appliquent les art. 253 et suivants CO. La sous-location est un contrat de bail à part entière, indépendant du bail principal, auquel il vient se superposer. La sous-location n'engendre aucun rapport juridique entre le bailleur et le sous-locataire (LACHAT, Le bail à loyer, Lausanne 2008, p. 566 et 579).</w:t>
      </w:r>
    </w:p>
    <w:p>
      <w:r>
        <w:rPr>
          <w:b/>
        </w:rPr>
        <w:t>E. 4.3</w:t>
      </w:r>
    </w:p>
    <w:p>
      <w:r>
        <w:t>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du Tribunal fédéral 4A_417/2011 du 30 novembre 2011 consid. 2.3; 4A_58/2011 du 17 juin 2011 consid. 2.4.1; 4A_384/2008 du 9 décembre 2008 consid. 4.1 in SJ 2009 I p. 424; 5A_175/2010 du 25 mai 2010 consid. 3.3.4; 4C.15/2004 du 12 mai 2004 consid. 5.2; ATF 112 II 503 consid. 3b).</w:t>
      </w:r>
    </w:p>
    <w:p>
      <w:r>
        <w:t>- 11/13 -</w:t>
      </w:r>
    </w:p>
    <w:p>
      <w:r>
        <w:t>C/13953/2016</w:t>
      </w:r>
    </w:p>
    <w:p>
      <w:r>
        <w:t>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du Tribunal fédéral 4A_417/2011 du 30 novembre 2011 consid. 2.3; 4A_58/2011 du 17 juin 2011 consid. 2.4.1; 4C.231/1997 du 15 septembre 1998 consid. 2b).</w:t>
      </w:r>
    </w:p>
    <w:p>
      <w:r>
        <w:t>La mainmise d'une personne juridique sur une société anonyme ne se traduit pas nécessairement par la possession de l'ensemble ou de la majorité des actions de cette société. D'autres formes de dépendance sont envisageables, notamment au travers de relations familiales ou amicales (arrêt du Tribunal fédéral 5P.127/2003 du 4 juillet 2003 consid. 2.2; SJ 2009 I p. 425).</w:t>
      </w:r>
    </w:p>
    <w:p>
      <w:r>
        <w:t>Il convient encore de préciser que le principe de la transparence ne peut avoir d'effet que dans un cas particulier, mettant en jeu une norme juridique spécifique; il ne conduit pas à une suppression générale de la personnalité (DRUEY/VOGEL, Das Schweizerische Konzernrecht in der Praxis der Gerichte, 1999, p. 75; SJ 2009 I p. 425).</w:t>
      </w:r>
    </w:p>
    <w:p>
      <w:r>
        <w:rPr>
          <w:b/>
        </w:rPr>
        <w:t>E. 4.4</w:t>
      </w:r>
    </w:p>
    <w:p>
      <w:r>
        <w:t>En l'espèce, le Tribunal a considéré à raison que le principe de "Durchgriff" invoqué par les appelants n'était pas applicable dans ce cas d'espèce, aucun indice ne permettant de conclure à une dépendance juridique et/ou économique, voire à une identité de personne entre l'intimée et la société D______ INC.</w:t>
      </w:r>
    </w:p>
    <w:p>
      <w:r>
        <w:t>En effet, comme relevé à juste titre par les premiers juges, l'intimée n'a pas de fonction ni dans cette société, ni auprès de son actionnaire majoritaire, la fondation F______.</w:t>
      </w:r>
    </w:p>
    <w:p>
      <w:r>
        <w:t>Cela étant, le fait que le père de l'intimée, président de la fondation F______, a procédé à des actes d'administration relatifs à l'immeuble de celle-ci, ne permet pas à lui seul d'arriver à la conclusion que l'intimée exerce une domination économique sur la société D______ INC. Il en est de même de la production par l'intimée des documents fiscaux relatifs à cette dernière société. Les relations familiales de l'intimée ne sous-entendent pas non plus que le loyer versé par les appelants reviendrait directement en faveur de l'intimée, contrairement à ce que ces derniers soutiennent.</w:t>
      </w:r>
    </w:p>
    <w:p>
      <w:r>
        <w:t>Les appelants ont également échoué à démontrer l'existence, dans le cas d'espèce, d'un abus de droit, notamment dans l'utilisation de l'instrument juridique de la sous-location.</w:t>
      </w:r>
    </w:p>
    <w:p>
      <w:r>
        <w:t>En conclusion et dans ce cas, les appelants n'ont pas établi que l'intimée et la société D______ INC ne font qu'un, ni que l'intimé contrôle celle-ci juridiquement et/ou économiquement, comme ils le soutiennent.</w:t>
      </w:r>
    </w:p>
    <w:p>
      <w:r>
        <w:t>- 12/13 -</w:t>
      </w:r>
    </w:p>
    <w:p>
      <w:r>
        <w:t>C/13953/2016</w:t>
      </w:r>
    </w:p>
    <w:p>
      <w:r>
        <w:t>Ce grief des appelants est donc infondé.</w:t>
      </w:r>
    </w:p>
    <w:p>
      <w:r>
        <w:rPr>
          <w:b/>
        </w:rPr>
        <w:t>E. 4.5</w:t>
      </w:r>
    </w:p>
    <w:p>
      <w:r>
        <w:t>En conséquence, le jugement querellé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C/13953/2016 PAR CES MOTIFS, La Chambre des baux et loyers : A la forme : Déclare recevable l'appel interjeté le 28 avril 2017 par A______ et B______ Sàrl contre le jugement JTBL/241/2017 rendu le 14 mars 2017 par le Tribunal des baux et loyers dans la cause C/13953/2016-9-OSL.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