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ACJC/32/2012 vom 12. Januar 2012</w:t>
      </w:r>
    </w:p>
    <w:p>
      <w:r>
        <w:t>GE Cour de justice, 2012-01-12, FR</w:t>
      </w:r>
    </w:p>
    <w:p>
      <w:r>
        <w:rPr>
          <w:b/>
        </w:rPr>
        <w:t xml:space="preserve">Quelle: </w:t>
      </w:r>
      <w:r>
        <w:t>https://mcp.opencaselaw.ch/entscheid/ge_gerichte_ACJC_32_2012</w:t>
      </w:r>
    </w:p>
    <w:p>
      <w:r>
        <w:t>FR: GE_GERICHTE ACJC/32/2012 du 12 janvier 2012</w:t>
      </w:r>
    </w:p>
    <w:p>
      <w:r>
        <w:t>IT: GE_GERICHTE ACJC/32/2012 del 12 gennaio 2012</w:t>
      </w:r>
    </w:p>
    <w:p>
      <w:pPr>
        <w:pStyle w:val="Heading2"/>
      </w:pPr>
      <w:r>
        <w:t>Regeste</w:t>
      </w:r>
    </w:p>
    <w:p>
      <w:r>
        <w:t>Résumé: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 L'acte doit également comporter la signature du débiteur ou de son représentant. La reconnaissance de dette peut découler du rapprochement de plusieurs pièces, pour autant que les éléments nécessaires en résultent.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régie par le nouveau droit de procédure.</w:t>
      </w:r>
    </w:p>
    <w:p>
      <w:r>
        <w:t>- 4/7 -</w:t>
      </w:r>
    </w:p>
    <w:p>
      <w:r>
        <w:t>C/11719/2011</w:t>
      </w:r>
    </w:p>
    <w:p>
      <w:r>
        <w:rPr>
          <w:b/>
        </w:rPr>
        <w:t>E. 2.1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2.2</w:t>
      </w:r>
    </w:p>
    <w:p>
      <w:r>
        <w:t>Interjeté dans le délai et les formes prévus par la loi, le présent recours est recevable.</w:t>
      </w:r>
    </w:p>
    <w:p>
      <w:r>
        <w:rPr>
          <w:b/>
        </w:rPr>
        <w:t>E. 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ATF n.p. 5P 290/2006 du 12.10.2006 consid. 3.1.2).</w:t>
      </w:r>
    </w:p>
    <w:p>
      <w:r>
        <w:t>- 5/7 -</w:t>
      </w:r>
    </w:p>
    <w:p>
      <w:r>
        <w:t>C/11719/2011</w:t>
      </w:r>
    </w:p>
    <w:p>
      <w:r>
        <w:rPr>
          <w:b/>
        </w:rPr>
        <w:t>E. 4.2</w:t>
      </w:r>
    </w:p>
    <w:p>
      <w:r>
        <w:t>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(PANCHAUD/CAPREZ, La mainlevée d'opposition, 1980, § 69 p. 168 et ch. 1 et 3; AMONN/WALTHER, Grundriss des Schuldbetreibungs- und Konkursrechts, 7ème éd., § 19 p. 130 n. 77; arrêt du Tribunal fédéral n.p. SP.171/2005 du 7 octobre 2005 consid. 4.1.1; SCHMIDT, Commentaire romand, Poursuite et faillite, n. 27 ad art. 82 LP).</w:t>
      </w:r>
    </w:p>
    <w:p>
      <w:r>
        <w:rPr>
          <w:b/>
        </w:rPr>
        <w:t>E. 4.3</w:t>
      </w:r>
    </w:p>
    <w:p>
      <w:r>
        <w:t>En l'espèce, le devis relatif aux honoraires de l'intimé, ainsi que la modification du devis ont été signés uniquement par le mari de la recourante. L'engagement de la recourante de construire une maison sur la parcelle qu'elle a acquise conjointement avec son époux n'est pas suffisante à rendre vraisemblable que la recourante se serait engagée envers l'intimé. Par ailleurs, les pièces produites par l'intimé ne permettent pas de déterminer le montant de la dette, l'intimé sollicitant notamment un dédommagement pour abandon du projet.</w:t>
      </w:r>
    </w:p>
    <w:p>
      <w:r>
        <w:t>Compte tenu des éléments qui précèdent, l'intimé ne dispose pas d'un titre de mainlevée. Le recours sera admis et le jugement entrepris annulé. L'intimé sera en conséquence débouté de sa demande de mainlevée provisoire de l'opposition.</w:t>
      </w:r>
    </w:p>
    <w:p>
      <w:r>
        <w:rPr>
          <w:b/>
        </w:rPr>
        <w:t>E. 5</w:t>
      </w:r>
    </w:p>
    <w:p>
      <w:r>
        <w:t>L'intimé qui succombe sera condamné aux frais de première et deuxième instance (art. 95 al. 1 et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de première instance ont été fixés à 300 fr., dont l'avance a été fournie par l'intimé. L'émolument de décision d'appel sera fixé à 450 fr. et mis à la charge de l'intimé, compensé avec l'avance de frais opérée par la recourante (art. 111 CPC). La recourante ayant comparu en personne, aucun dépens ne sera alloué.</w:t>
      </w:r>
    </w:p>
    <w:p>
      <w:r>
        <w:rPr>
          <w:b/>
        </w:rPr>
        <w:t>E. 6</w:t>
      </w:r>
    </w:p>
    <w:p>
      <w:r>
        <w:t>La valeur litigieuse, au sens de l'art. 51 LTF, est inférieure à 30'000 fr. * * * * * PAR CES MOTIFS, La Chambre civile :</w:t>
      </w:r>
    </w:p>
    <w:p>
      <w:r>
        <w:t>- 6/7 -</w:t>
      </w:r>
    </w:p>
    <w:p>
      <w:r>
        <w:t>C/11719/2011 A la forme : Déclare recevable le recours interjeté par A_______ contre le jugement JTPI/14341/2011 rendu le 23 septembre 2011 par le Tribunal de première instance dans la cause C/11719/2011-9 SML. Au fond : Admet le recours et annule ce jugement. Déboute B_______ des fins de sa requête en mainlevée provisoire. Sur les frais de première et deuxième instance : Arrête les frais judiciaires à 750 fr. et les met à charge de B_______. Dit que les frais judiciaires sont couverts par les avances de frais opérées par B_______ et A_______, acquises à l'Etat. Condamne en conséquence B_______ à verser à A_______ 450 fr. Dit qu'il n'est pas alloué de dépens. Déboute les parties de toutes autres conclusions. Siégeant : Monsieur Jean-Marc STRUBIN, président; Madame Sylvie DROIN, Madame Nathalie LANDRY-BARTHE, juges; Madame Fatina SCHAERER, greffier.</w:t>
      </w:r>
    </w:p>
    <w:p>
      <w:r>
        <w:t>Le président : Jean-Marc STRUBIN</w:t>
      </w:r>
    </w:p>
    <w:p>
      <w:r>
        <w:t>Le greffier : Fatina SCHAERER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w:t>
      </w:r>
    </w:p>
    <w:p>
      <w:r>
        <w:t>- 7/7 -</w:t>
      </w:r>
    </w:p>
    <w:p>
      <w:r>
        <w:t>C/11719/2011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