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ACJC/329/2025 vom 20. Juni 2024</w:t>
      </w:r>
    </w:p>
    <w:p>
      <w:r>
        <w:t>GE Cour de justice, 2024-06-20, FR</w:t>
      </w:r>
    </w:p>
    <w:p>
      <w:r>
        <w:rPr>
          <w:b/>
        </w:rPr>
        <w:t xml:space="preserve">Quelle: </w:t>
      </w:r>
      <w:r>
        <w:t>https://mcp.opencaselaw.ch/entscheid/ge_gerichte_ACJC_329_2025</w:t>
      </w:r>
    </w:p>
    <w:p>
      <w:r>
        <w:t>FR: GE_GERICHTE ACJC/329/2025 du 20 juin 2024</w:t>
      </w:r>
    </w:p>
    <w:p>
      <w:r>
        <w:t>IT: GE_GERICHTE ACJC/329/2025 del 20 giugno 2024</w:t>
      </w:r>
    </w:p>
    <w:p>
      <w:pPr>
        <w:pStyle w:val="Heading2"/>
      </w:pPr>
      <w:r>
        <w:t>Erwägungen</w:t>
      </w:r>
    </w:p>
    <w:p>
      <w:r>
        <w:rPr>
          <w:b/>
        </w:rPr>
        <w:t>E. 1</w:t>
      </w:r>
    </w:p>
    <w:p>
      <w:r>
        <w:t>Interjeté selon les forme et délai prescrits contre une décision finale statuant notamment sur la contribution due à l'entretien d'enfants mineurs, soit sur une affaire patrimoniale dont la valeur litigieuse est, compte tenu des conclusions formulées à ce titre en première instance, supérieure à 10'000 fr., l'appel est recevable (art. 92, 130, 142 al. 3, 143 al. 1 et 145 al. 1 let. b, 308 al. 1 let. a et al. 2, 311 al. 1 CPC).</w:t>
      </w:r>
    </w:p>
    <w:p>
      <w:r>
        <w:rPr>
          <w:b/>
        </w:rPr>
        <w:t>E. 2</w:t>
      </w:r>
    </w:p>
    <w:p>
      <w:r>
        <w:t>Le litige, qui porte sur l'entretien d'enfants mineurs, est soumis aux maximes inquisitoire illimitée et d'office (art. 296 al. 1 et 3 CPC).</w:t>
      </w:r>
    </w:p>
    <w:p>
      <w:r>
        <w:t>- 7/15 -</w:t>
      </w:r>
    </w:p>
    <w:p>
      <w:r>
        <w:t>C/11809/2023</w:t>
      </w:r>
    </w:p>
    <w:p>
      <w:r>
        <w:rPr>
          <w:b/>
        </w:rPr>
        <w:t>E. 3</w:t>
      </w:r>
    </w:p>
    <w:p>
      <w:r>
        <w:t>Les pièces nouvelles produites par les parties devant la Cour sont recevables, puisque le litige porte sur l'entretien d'enfants mineurs et que la procédure est soumise à la maxime inquisitoire illimitée (ATF 144 III 349 consid. 4.2.1).</w:t>
      </w:r>
    </w:p>
    <w:p>
      <w:r>
        <w:rPr>
          <w:b/>
        </w:rPr>
        <w:t>E. 4</w:t>
      </w:r>
    </w:p>
    <w:p>
      <w:r>
        <w:t>L'appelant reproche au Tribunal d'avoir augmenté sa contribution à l'entretien de ses filles D______ et C______, faisant valoir que leur situation n'avait pas changé de manière notable, que la réglementation de garde de sa fille D______ ne s'était pas modifiée et que sa propre situation financière s'était péjorée en raison de ses problèmes de santé et de la naissance de ses deux filles en 2021 et 2022. 4.1.1 L'entretien de l'enfant est assuré par les soins, l'éducation et des prestations pécuniaires (art. 276 al. 1 CC). Les parents contribuent ensemble, chacun selon ses facultés, à l'entretien convenable de l'enfant et assument en particulier les frais de sa prise en charge, de son éducation, de sa formation et des mesures prises pour le protéger (art. 276 al. 2 CC). La contribution d'entretien due à l'enfant doit correspondre aux besoins de celui- ci, ainsi qu'à la situation et aux ressources des père et mère, compte tenu de la fortune et des revenus de l'enfant (art. 285 al. 1 CC).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1 et 2 CC). L'obligation d'entretien envers un enfant mineur prime les autres obligations d'entretien du droit de la famille (art. 276a al. 1 CC). 4.1.2 Le juge peut ordonner que la contribution d'entretien soit augmentée ou réduite dès que des changements déterminés interviennent dans les besoins de l'enfant, les ressources des pères et mère ou le cout de la vie (art. 286 al. 1er CC). Si la situation change notablement, le juge modifie ou supprime la contribution d'entretien à la demande du père, de la mère ou de l'enfant (art. 286 al. 2 CC). Une modification ou une suppression de la contribution d'entretien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141 III 376 consid. 3.3.1; arrêts du Tribunal fédéral 5A_523/2021 du 29 mars 2022 consid. 3.1; 5A_230/2019 du 31 janvier 2020 consid. 6.1). Le fait revêt un caractère nouveau lorsqu'il n'a pas été pris en considération pour fixer la contribution d'entretien. Ce qui est déterminant, ce n'est pas la prévisibilité</w:t>
      </w:r>
    </w:p>
    <w:p>
      <w:r>
        <w:t>- 8/15 -</w:t>
      </w:r>
    </w:p>
    <w:p>
      <w:r>
        <w:t>C/11809/2023 des circonstances nouvelles, mais exclusivement le fait que la contribution d'entretien ait été fixée sans tenir compte de ces circonstances futures (ATF 141 III 376 consid. 3.3.1; 138 III 289 consid. 11.1.1; 131 III 189 consid. 2.7.4; arrêts du Tribunal fédéral 5A_400/2018 consid. 3; 5A_788/201 consid. 5.1). Les changements notables sont notamment une maladie de longue durée ou une invalidité, la perte d'un emploi du débirentier ou du parent gardien, un changement important de la situation économique du débiteur ou une modification de la situation familiale, telle que la naissance d'autres enfants (Arrêts du Tribunal fédéral 5A_700/2019 du 3 février 2021 consid. 2.1; 5A_35/2018 du 31 mai 2018 consid. 3.1; PERRIN, CR CC I, 2ème éd., 2023, n. 10 ad art. 286 CC).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134 III 337 consid. 2.2.2; arrêts du Tribunal fédéral 5A_400/2018 consid. 3; 5A_788/2017 consid. 5.1; 5D_183/2017 du 13 juin 2018 consid. 4.1; 5A_35/2018 du 31 mai 2018 consid. 3.1; 5A_760/2016 du 5 septembre 2017 consid. 5.1). 4.1.3 Si l'enfant est sous la garde exclusive de l'un des parents, vit dans le ménage de ce dernier et ne voit l'autre parent que dans le cadre de l'exercice du droit aux relations personnelles, le parent gardien apporte sa contribution à l'entretien de l'enfant en nature, soit en s'occupant de l'enfant et en l'élevant. Eu égard au principe de l'équivalence des prestations en argent et en nature, le versement d'une contribution d'entretien incombe, dans un tel cas, en principe entièrement à l'autre parent (ATF 114 II 26 consid. 5b; arrêts du Tribunal fédéral 5A_848/2019 du 2 décembre 2020 consid. 7.1 et les références; 5A_727/2018 du 22 août 2019 consid. 4.3.2.1). 4.1.4 Le Tribunal fédéral a posé, pour toute la Suisse, une méthode de calcul uniforme des contributions d'entretien du droit de la famille (ATF 147 III 265, SJ 2021 I 3016; 147 III 293; 147 III 301).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w:t>
      </w:r>
    </w:p>
    <w:p>
      <w:r>
        <w:t>- 9/15 -</w:t>
      </w:r>
    </w:p>
    <w:p>
      <w:r>
        <w:t>C/11809/2023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L'éventuel excédent est ensuite réparti en fonction de la situation concrète, en tenant compte de toutes les circonstances entourant la prise en charge de l'enfant (ATF 147 III 265 consid. 7.1). Dans le calcul des besoins, le point de départ est le minimum vital du droit des poursuites, comprenant l'entretien de base selon les normes d'insaisissabilité (NI 2024,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(ATF 147 III 265 consid. 7.2). Les allocations familiales doivent être retranchées du coût de l'enfant (arrêt du Tribunal 5A_743/2017 du 22 mai 2019 consid. 5.2.3). L'entretien de l'enfant majeur doit céder le pas non seulement au minimum vital du droit des poursuites, mais également au minimum vital du droit de la famille des autres ayants droit, car ces derniers disposent d'une prétention à la préservation de leur minimum vital du droit de la famille en présence de moyens suffisants (ATF 147 III 265 consid. 7.2). 4.1.5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consid. 3.1; arrêts du Tribunal fédéral 5A_254/2019 du 18 juillet 2019 consid. 3.1; 5A_946/2018 du 6 mars 2019 consid. 3.1). Lorsque le juge entend tenir compte d'un revenu hypothétique, il doit d'abord déterminer si l'on peut raisonnablement exiger d'une personne qu'elle exerce une activité lucrative ou augmente celle-ci, eu égard, notamment, à sa formation, à son âge et à son état de santé. Il doit ensuite établir si la personne a la possibilité</w:t>
      </w:r>
    </w:p>
    <w:p>
      <w:r>
        <w:t>- 10/15 -</w:t>
      </w:r>
    </w:p>
    <w:p>
      <w:r>
        <w:t>C/11809/2023 effective d'exercer l'activité ainsi déterminée et quel revenu elle peut en obtenir, compte tenu des circonstances subjectives susmentionnées et du marché du travail (ATF 143 III 233 consid. 3.2; 137 III 102 consid. 4.2.2.2; arrêt du Tribunal fédéral 5A_645/2020 précité consid. 5.2.1). La prise, la reprise ou l'extension d'une activité lucrative ne doit en principe être admise que pour le futur, étant précisé que l'on accorde généralement à la partie à qui on veut imputer un revenu hypothétique un délai approprié pour s'adapter à sa nouvelle situation (ATF 129 III 417 consid. 2.2; 114 II 13 consid. 5; arrêts du Tribunal fédéral 5A_694/2020 du 7 mai 2021 consid. 3.5.2; 5A_549/2017 du 11 septembre 2017 consid. 4). 4.2.1 En l'espèce, le Tribunal a considéré que la situation des parties avait changé de manière notable en raison de la naissance des deux filles de l'appelant en 2021 et 2022, de son concubinage avec sa nouvelle compagne, de l'entrée en vigueur de la législation genevoise instaurant un salaire minimal en novembre 2020 et du changement du système de garde de l'enfant C______. Aucun changement dans la prise en charge des enfants ne justifie toutefois d'adapter la contribution de l'appelant à l'entretien de ses filles. Dans son arrêt rendu le 26 juin 2015, la Cour avait en effet fixé la contribution de l'appelant à l'entretien de chacune de ses filles D______ et C______ à 260 fr. par mois, en retenant que la mère exerçait la garde exclusive sur les trois enfants du couple et n'était pas en mesure d'exercer une activité professionnelle lui permettant de couvrir son minimum vital et qu'il pouvait être exigé du père, qui était en mesure de travailler à plein temps et de réaliser un revenu net de 3'253 fr., qu'il fournisse les efforts nécessaires pour contribuer financièrement à leur entretien. La répartition entre les parents de la garde de leurs trois enfants a certes été modifiée en octobre 2020 lorsque le Tribunal de protection a confié la garde du fils aîné au père, celle de D______ à la mère et instauré une garde partagée sur la cadette C______. La contribution de l'appelant à l'entretien de ses enfants n'avait alors pas été adaptée à la modification du système de garde sur les enfants. Il en va de même de l'incarcération de l'appelant de janvier 2023 à février 2024, qui n'a conduit à aucune modification de sa contribution à l'entretien de ses enfants. Depuis l'incarcération de l'appelant en décembre 2022, la garde de C______ est à nouveau exclusivement exercée par sa mère et lui a été attribuée dans le cadre de la présente procédure, sur mesures provisionnelles en novembre 2023 puis sur le fond dans le jugement querellé. La garde sur D______ n'a pas subi de modification, puisqu'elle a été exclusivement exercée par sa mère depuis le prononcé de l'arrêt du 26 juin 2015 jusqu'à la majorité de l'enfant en octobre 2024. Il s'avère ainsi qu'en ce qui concerne la répartition entre les parents de la garde de leurs enfants, la situation actuelle n'a, en comparaison de celle prévalant en 2015</w:t>
      </w:r>
    </w:p>
    <w:p>
      <w:r>
        <w:t>- 11/15 -</w:t>
      </w:r>
    </w:p>
    <w:p>
      <w:r>
        <w:t>C/11809/2023 lorsque la contribution d'entretien a été fixée, pas subi de modification majeure, puisque la mère l'exerce de manière exclusive sur C______ et sur D______ jusqu'à la majorité de celle-ci. En revanche, la situation financière de l'appelant a effectivement changé puisqu'il a eu deux enfants en 2021 et 2022 et qu'il vit en concubinage avec sa nouvelle compagne. Il se prévaut par ailleurs de problèmes de santé qui l'empêcheraient d'exercer une activité lucrative. Il se justifie en conséquence d'examiner à nouveau sa capacité contributive pour déterminer si sa contribution à l'entretien de ses filles D______ et C______ doit être adaptée en conséquence. 4.2.2.1 L'appelant reproche au premier juge d'avoir considéré qu'il était en mesure d'exercer une activité lucrative à plein temps et de lui avoir imputé un revenu hypothétique à hauteur de 3'800 fr. Il a produit, devant la Cour, un certificat établi par son médecin traitant le 10 juillet 2024 ainsi qu'un rapport médical des HUG du 11 juillet 2024, dont il ressort qu'il souffre de diabète, qu'il se plaint de douleurs à la hanche et qu'il suit un léger traitement antidépresseur. Ces attestations n'établissent toutefois pas que son état de santé l'empêche d'exercer une activité lucrative. A défaut d'éléments permettant de retenir le contraire, l'appelant est en mesure de travailler à plein temps et l'on peut attendre de lui qu'il fournisse cet effort pour qu'il subvienne à l'entretien de ses enfants.</w:t>
      </w:r>
    </w:p>
    <w:p>
      <w:r>
        <w:t>Aucune modification conséquente n'est ainsi survenue dans l'aptitude de l'appelant à exercer une activité lucrative, que la Cour avait déjà retenue dans son arrêt du 26 juin 2015. C'est dès lors à tort que le Tribunal a procédé à une réévaluation du revenu hypothétique de l'appelant, qui sera maintenu à hauteur 3'253 fr. par mois comme l'avait retenu la Cour dans sa précédente décision, étant ici relevé que la seule entrée en vigueur de la réglementation genevoise instaurant un salaire minimal ne justifie pas de revoir la contribution d'entretien précédemment fixée. 4.2.2.2 Dans la mesure où l'appelant a eu deux filles en 2021 et 2022 et où il fait ménage commun avec sa nouvelle compagne, il y a lieu d'actualiser ses charges incompressibles déterminant son minimum vital. Le Tribunal a, à raison et sans avoir été remis en cause par les parties, déterminé le minimum vital de celles-ci selon le droit des poursuites au regard de leur situation financière. Il a, s'agissant de l'appelant, retenu que ses charges se montaient à 1'672 fr., comprenant le montant de base OP (850 fr.), le loyer à raison de 50% (508 fr.), la cotisation d'assurance-maladie, subside déduit (244 fr.) et les frais de transports publics (70 fr.).</w:t>
      </w:r>
    </w:p>
    <w:p>
      <w:r>
        <w:t>- 12/15 -</w:t>
      </w:r>
    </w:p>
    <w:p>
      <w:r>
        <w:t>C/11809/2023</w:t>
      </w:r>
    </w:p>
    <w:p>
      <w:r>
        <w:t>C'est à juste titre que le premier juge n'a pas pris en considération les frais de télécommunication allégués à hauteur de 222 fr. par mois, dans la mesure où les moyens financiers modestes des parties ne permettent pas d'élargir leur entretien au-delà du au minimum vital du droit des poursuites. Les charges incompressibles de l'appelant seront en conséquence retenues à hauteur de 1'672 fr. 4.2.2.3 L'appelant bénéficie ainsi d'un disponible de 1'580 fr. après couverture de ses charges incompressibles pour faire face à ses obligations alimentaires à l'égard de ses enfants. 4.2.2.4 Il est admis que l'entretien de la mineure C______ se monte à 885 fr., comprenant le montant de base OP (600 fr.), la participation au loyer (128 fr. 70), la cotisation d'assurance-maladie (121 fr. 30) et les frais de transports publics (35 fr.). Ses charges s'élèvent ainsi, après déduction des allocations familiales de 515 fr., à 370 fr. par mois. 4.2.2.5 En ce qui concerne D______, le Tribunal a retenu, sans être remis en cause par les parties, que ses charges incompressibles s'élèvent à 904 fr. 10, comprenant le montant de base OP (600 fr.), la participation au loyer (128 fr. 70), la cotisation d'assurance-maladie (140 fr. 40) et les frais de transports publics (35 fr.).</w:t>
      </w:r>
    </w:p>
    <w:p>
      <w:r>
        <w:t>L'appelant ne saurait être suivi lorsqu'il reproche au premier juge d'avoir retenu des allocations familiales à hauteur de 415 fr. au lieu de 515 fr. pour D______, puisque ce dernier montant n'est alloué qu'au troisième enfant (art. 4 let. b de la loi sur les allocations familiales RS/GE).</w:t>
      </w:r>
    </w:p>
    <w:p>
      <w:r>
        <w:t>Ses charges représentent ainsi 489 fr. par mois. 4.2.2.6 La mère des intimées, qui bénéficie de l'aide sociale, assume la garde exclusive de D______ depuis la séparation des parties en 2013. Elle s'est occupée de la mineure C______ de manière exclusive jusqu'à ce que la garde partage soit instaurée par le Tribunal de protection en mars 2016, et assume à nouveau la prise en charge exclusive de C______ depuis l'incarcération de l'appelant en décembre 2022. C'est, dans ces circonstances, à raison que le premier juge a considéré qu'il revenait à l'appelant d'assurer l'entretien de ses filles sur le plan financier puisque leur mère assume leur prise en charge au quotidien. 4.2.2.7 L'appelant se prévaut par ailleurs de ses obligations alimentaires à l'égard de ses enfants J______ et K______, nées en 2021 et 2022 de sa relation avec sa nouvelle compagne. Il fait valoir des charges de 1'583 fr. et 1'483 fr., allocations</w:t>
      </w:r>
    </w:p>
    <w:p>
      <w:r>
        <w:t>- 13/15 -</w:t>
      </w:r>
    </w:p>
    <w:p>
      <w:r>
        <w:t>C/11809/2023 familiales déduites, comprenant pour chacune des filles, outre le montant de base OP, la participation au loyer, la cotisation d'assurance-maladie, subside déduit, des frais de crèche de 1'202 fr. 50 par mois. Il ne sera pas tenu compte des frais de crèche, qui n'apparaissent pas indispensable dans la mesure où leur mère bénéficie également de l'aide sociale n'exerce donc pas d'activité professionnelle, de sorte que l'entretien de J______ et de K______ n'excède pas les sommes de 380 fr. et 280 fr. Bénéficiant d'un disponible de 1'580 fr., l'appelant est ainsi en mesure de faire face à ses obligations alimentaires à l'égard de ses enfants mineurs C______, J______ et K______ à raison de 370 fr., 380 fr. et 280 fr., soit 1'030 fr. au total, tout en subvenant aux charges incompressibles de sa fille D______, devenue majeure en ______ 2024 et poursuivant ses études au Collège de Genève, à hauteur de 490 fr. par mois. Il apparaît ainsi équitable que l'appelant contribue à l'entretien de chacun de ses enfants de manière à couvrir leur minimum vital respectif. Sa contribution à l'entretien de ses filles D______ et C______ fixée par arrêt du 26 juin 2015 sera en conséquence modifiée et arrêtée à hauteur de 490 fr. pour D______ et 370 fr. pour C______. Dans la mesure où le revenu hypothétique avait déjà été imputé à l'appelant en 2015, il ne se justifie pas de lui octroyer un délai supplémentaire, de sorte que l'augmentation de sa contribution d'entretien interviendra avec l'entrée en force du présent arrêt.</w:t>
      </w:r>
    </w:p>
    <w:p>
      <w:r>
        <w:rPr>
          <w:b/>
        </w:rPr>
        <w:t>E. 5</w:t>
      </w:r>
    </w:p>
    <w:p>
      <w:r>
        <w:t>Les frais judiciaires d'appel seront arrêtés à 500 fr. (art. 17 RTFMC) et mis à la charge des parties par moitié entre elles, vu la nature familiale du litige (art. 95 al. 1 et 2, 105 al. 1 et 107 al. 1 let. c CPC). Les parties plaidant au bénéfice de l'assistance judiciaire, ces frais seront provisoirement laissés à la charge de l'Etat de Genève, qui pourra en réclamer le remboursement ultérieurement (art. 122 et 123 al. 1 CPC). Il n'y a pas lieu d'allouer des dépens d'appel (art. 95 al. 3, 105 al. 2 et 107 al. 1 let. c CPC). * * * * *</w:t>
      </w:r>
    </w:p>
    <w:p>
      <w:r>
        <w:t>- 14/15 -</w:t>
      </w:r>
    </w:p>
    <w:p>
      <w:r>
        <w:t>C/11809/2023 PAR CES MOTIFS, La Chambre civile : A la forme : Déclare recevable l'appel interjeté le 26 août 2024 par A______ contre le jugement JTPI/7892/2024 rendu le 20 juin 2024 par le Tribunal de première instance dans la cause C/11809/2023. Au fond : Annule le chiffre 2 du dispositif de ce jugement et, statuant à nouveau sur ce point : Modifie le dispositif de l'arrêt ACJC/774/2015 rendu le 26 juin 2015 par la Cour de justice dans la cause C/1______/2013 de la manière suivante : Condamne A______ à verser en mains de E______, à titre de contribution à l'entretien de D______, allocations familiales non comprises, d'avance et par mois, 490 fr. jusqu'à sa majorité et au-delà en cas de formation professionnelle ou d'études sérieuses et régulières. Condamne A______ à verser en mains de E______, à titre de contribution à l'entretien de C______, allocations familiales non comprises, d'avance et par mois, 370 fr. jusqu'à sa majorité et au-delà en cas de formation professionnelle ou d'études sérieuses et régulières. Déboute les parties de toutes autres conclusions. Sur les frais : Arrête les frais judiciaires d'appel à 500 fr. et les met à la charge des parties à raison de la moitié chacune. Dit que ces frais sont provisoirement supportés par l'Etat de Genève, sous réserve d'une décision de l'assistance judiciaire. Dit qu'il ne sera pas alloué de dépens d'appel. Siégeant : Monsieur Laurent RIEBEN, président; Madame Fabienne GEISINGER-MARIETHOZ, Madame Ursula ZEHETBAUER GHAVAMI, juges; Madame Camille LESTEVEN, greffière.</w:t>
      </w:r>
    </w:p>
    <w:p>
      <w:r>
        <w:t>- 15/15 -</w:t>
      </w:r>
    </w:p>
    <w:p>
      <w:r>
        <w:t>C/11809/2023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