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ACJC/327/2016 vom 3. November 2015</w:t>
      </w:r>
    </w:p>
    <w:p>
      <w:r>
        <w:t>GE Cour de justice, 2015-11-03, FR</w:t>
      </w:r>
    </w:p>
    <w:p>
      <w:r>
        <w:rPr>
          <w:b/>
        </w:rPr>
        <w:t xml:space="preserve">Quelle: </w:t>
      </w:r>
      <w:r>
        <w:t>https://mcp.opencaselaw.ch/entscheid/ge_gerichte_ACJC_327_2016</w:t>
      </w:r>
    </w:p>
    <w:p>
      <w:r>
        <w:t>FR: GE_GERICHTE ACJC/327/2016 du 3 novembre 2015</w:t>
      </w:r>
    </w:p>
    <w:p>
      <w:r>
        <w:t>IT: GE_GERICHTE ACJC/327/2016 del 3 novembre 2015</w:t>
      </w:r>
    </w:p>
    <w:p>
      <w:pPr>
        <w:pStyle w:val="Heading2"/>
      </w:pPr>
      <w:r>
        <w:t>Erwägungen</w:t>
      </w:r>
    </w:p>
    <w:p>
      <w:r>
        <w:rPr>
          <w:b/>
        </w:rPr>
        <w:t>E. 1.1</w:t>
      </w:r>
    </w:p>
    <w:p>
      <w:r>
        <w:t>L'appel est recevable contre les décisions finales de première instance, si la valeur litigieuse au dernier état des conclusions de première instance est de 10'000 fr. au moins (art. 308 al. 1 let. a et al. 2 CPC; JEANDIN, in CPC, Code de procédure civile commenté, BOHNET/HALDY/JEANDIN/SCHWEIZER/TAPPY [éd.],</w:t>
      </w:r>
    </w:p>
    <w:p>
      <w:r>
        <w:t>- 4/9 -</w:t>
      </w:r>
    </w:p>
    <w:p>
      <w:r>
        <w:t>C/15006/2015 2011, n. 13 ad art. 308 CPC). Ces conditions valent aussi en procédure de cas clair selon l'art. 257 CPC (HOHL, Procédure civile, tome II, 2010, n. 1684 s.).</w:t>
      </w:r>
    </w:p>
    <w:p>
      <w:r>
        <w:t>En l'espèce, vu la valeur litigieuse de 101'124 fr. 15, la voie de l'appel est ouverte.</w:t>
      </w:r>
    </w:p>
    <w:p>
      <w:r>
        <w:rPr>
          <w:b/>
        </w:rPr>
        <w:t>E. 1.2</w:t>
      </w:r>
    </w:p>
    <w:p>
      <w:r>
        <w:t>Les décisions rendues en matière de cas clairs sont soumises à la procédure sommaire (art. 257 al. 1 CPC). Qu'elle accorde la protection ou déclare la requête irrecevable, la décision peut être attaquée dans les dix jours (art. 314 al. 1 CPC).</w:t>
      </w:r>
    </w:p>
    <w:p>
      <w:r>
        <w:t>En l'espèce, l'appel a été formé dans le délai prescrit par la loi.</w:t>
      </w:r>
    </w:p>
    <w:p>
      <w:r>
        <w:rPr>
          <w:b/>
        </w:rPr>
        <w:t>E. 1.3</w:t>
      </w:r>
    </w:p>
    <w:p>
      <w:r>
        <w:t>Selon l'intimée, l'appel est irrecevable parce que l'appelant n'a pas indiqué en quoi le jugement entrepris était contraire au droit.</w:t>
      </w:r>
    </w:p>
    <w:p>
      <w:r>
        <w:rPr>
          <w:b/>
        </w:rPr>
        <w:t>E. 1.3.1</w:t>
      </w:r>
    </w:p>
    <w:p>
      <w:r>
        <w:t>Selon l'art. 311 al. 1 CPC, il incombe à l'appelant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(ATF 138 III 374 consid. 4.3.1 p. 375). Si la motivation présentée par le recourant n'est pas suffisante, l'appel est irrecevable (arrêt du Tribunal fédéral 4A_101/2014 du 26 juin 2014 consid. 3.3).</w:t>
      </w:r>
    </w:p>
    <w:p>
      <w:r>
        <w:rPr>
          <w:b/>
        </w:rPr>
        <w:t>E. 1.3.2</w:t>
      </w:r>
    </w:p>
    <w:p>
      <w:r>
        <w:t>En l'espèce, l'appelant a développé plusieurs griefs à l'encontre du jugement entrepris, de sorte que l'appel, suffisamment motivé, est recevable à la forme.</w:t>
      </w:r>
    </w:p>
    <w:p>
      <w:r>
        <w:rPr>
          <w:b/>
        </w:rPr>
        <w:t>E. 2</w:t>
      </w:r>
    </w:p>
    <w:p>
      <w:r>
        <w:t>L'appelant allègue nouvellement que le prêt de 100'000 fr. qu'il a concédé à l'époux de l'intimée avait pour but de financer le déménagement de sa famille ______ (______; Appel, p. 4, IV 1).</w:t>
      </w:r>
    </w:p>
    <w:p>
      <w:r>
        <w:t>En outre, il produit des pièces nouvelles à l'appui de sa réplique.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l'allégation relative à la finalité du prêt est nouvelle et, par conséquent, irrecevable, l'appelant n'ayant pas indiqué en quoi il aurait été empêché de l'alléguer en première instance.</w:t>
      </w:r>
    </w:p>
    <w:p>
      <w:r>
        <w:t>S'agissant des pièces nouvellement produites, l'arrêt de la Cour ACJC/821/2013 du 28 juin 2013 (C/2451/2012, pièce n° 2) est recevable, puisqu'il s'agit d'un fait connu de cette juridiction. En revanche, les pièces nos 3 et 4 sont irrecevables,</w:t>
      </w:r>
    </w:p>
    <w:p>
      <w:r>
        <w:t>- 5/9 -</w:t>
      </w:r>
    </w:p>
    <w:p>
      <w:r>
        <w:t>C/15006/2015 puisque l'appelant aurait pu les produire en première instance, avant que la cause ne soit gardée à juger le 26 octobre 2015, en faisant preuve de diligence.</w:t>
      </w:r>
    </w:p>
    <w:p>
      <w:r>
        <w:rPr>
          <w:b/>
        </w:rPr>
        <w:t>E. 3</w:t>
      </w:r>
    </w:p>
    <w:p>
      <w:r>
        <w:t>L'appelant sollicite préalablement l'apport complet de la procédure C/16050/2013 à l'encontre de C______.</w:t>
      </w:r>
    </w:p>
    <w:p>
      <w:r>
        <w:rPr>
          <w:b/>
        </w:rPr>
        <w:t>E. 3.1</w:t>
      </w:r>
    </w:p>
    <w:p>
      <w:r>
        <w:t>L'instance d'appel peut administrer des preuves (art. 316 al. 3 CPC), lorsqu'elle estime opportun de renouveler leur administration ou de donner suite à une offre que l'instance inférieure a refusé d'accueillir, de procéder à l'administra- tion d'un moyen nouveau ou d'instruire à raison de conclusions et/ou de faits nouveaux (arrêt du Tribunal fédéral 4A_229/2012 du 19 juillet 2012 consid. 4; JEANDIN, in CPC, op. cit., n. 5 ad art. 316 CPC).</w:t>
      </w:r>
    </w:p>
    <w:p>
      <w:r>
        <w:rPr>
          <w:b/>
        </w:rPr>
        <w:t>E. 3.2</w:t>
      </w:r>
    </w:p>
    <w:p>
      <w:r>
        <w:t>En l'espèce, il est inutile d'ordonner l'apport de cette procédure, puisque celle- ci n'a aucune incidence sur le litige opposant les parties.</w:t>
      </w:r>
    </w:p>
    <w:p>
      <w:r>
        <w:t>En tout état de cause les décisions rendues dans cette procédure sont suffisantes et figurent déjà au dossier.</w:t>
      </w:r>
    </w:p>
    <w:p>
      <w:r>
        <w:rPr>
          <w:b/>
        </w:rPr>
        <w:t>E. 4.1</w:t>
      </w:r>
    </w:p>
    <w:p>
      <w:r>
        <w:t>Le Tribunal a retenu que les faits étaient clairs, puisque l'intimée ne connaissait pas l'appelant ni n'avait été en relation d'affaires avec lui. Dès lors, elle n'était pas débitrice de celui-là. Son statut d'épouse de C______ n'impliquait pas qu'elle puisse être recherchée en qualité de débitrice solidaire de son mari. En particulier, l'appelant ne pouvait pas déduire de l'opposition formée par l'intimée au commandement de payer notifié à son époux qu'elle se constituait codébitrice solidaire de la dette déduite en poursuites. Par ailleurs, il était exclu de retenir une solidarité, résultant de la représentation de l'union conjugale, puisque la créance en cause résultait d'un contrat de change. Enfin, la cause de la poursuite dirigée à l'encontre de l'intimée devait vraisemblablement correspondre à celle qui faisait l'objet de la poursuite n° 2______ et dont l'appelant avait déjà été débouté de ses conclusions contre le mari de l'intimée.</w:t>
      </w:r>
    </w:p>
    <w:p>
      <w:r>
        <w:rPr>
          <w:b/>
        </w:rPr>
        <w:t>E. 4.2</w:t>
      </w:r>
    </w:p>
    <w:p>
      <w:r>
        <w:t>L'appelant reproche au Tribunal d'avoir omis de constater que la poursuite n° 1______ avait été notifiée "automatiquement" à l'intimée, sans que l'Office des poursuites n'ait pris en considération la nature de la dette ou le fond de l'affaire. Il n'avait pas connaissance du régime matrimonial de l'intimée et l'adoption de la séparation de biens en 1986 n'excluait pas l'adoption subséquente d'un autre régime matrimonial par les époux ______. Quoiqu'il en soit, il poursuivait l'intimée en sa qualité de représentante de l'union conjugale, reprochant au Tribunal la violation de l'art. 166 CC, puisque les fonds perçus par C______ pouvaient avoir été affectés aux besoins de la famille, aux paiements des loyers professionnels du couple ou aux intérêts hypothécaires de leur villa, ainsi qu'aux frais de la scolarité de leurs enfants.</w:t>
      </w:r>
    </w:p>
    <w:p>
      <w:r>
        <w:t>- 6/9 -</w:t>
      </w:r>
    </w:p>
    <w:p>
      <w:r>
        <w:t>C/15006/2015</w:t>
      </w:r>
    </w:p>
    <w:p>
      <w:r>
        <w:t>4.3.1 Selon l'art. 257 CPC, le tribunal admet l'application de la procédure sommaire à condition que, d'une part, l'état de fait ne soit pas litigieux, ou qu'il soit susceptible d'être immédiatement prouvé (let. a), et que, d'autre part, la situation juridique soit claire (let. b).</w:t>
      </w:r>
    </w:p>
    <w:p>
      <w:r>
        <w:t>La procédure de protection dans les cas clairs permet à la partie demanderesse d'obtenir rapidement une décision ayant l'autorité de la chose jugée et la force exécutoire, lorsque la situation de fait et de droit n'est pas équivoque (ATF 138 III 620 consid. 5.1.1). Cette procédure n'est ainsi recevable que lorsque l'état de fait n'est pas litigieux ou est susceptible d'être immédiatement prouvé (art. 257 al. 1 let. a CPC) et que la situation juridique est claire (art. 257 al. 1 let. b CPC; arrêt du Tribunal fédéral 4A_282/2015 du 27 juillet 2015 consid. 2.1).</w:t>
      </w:r>
    </w:p>
    <w:p>
      <w:r>
        <w:t>La situation juridique est claire au sens de la let. b de la disposition précitée lorsque l'application de la norme au cas concret s'impose de façon évidente au regard du texte légal ou sur la base d'une doctrine et d'une jurisprudence éprouvées (ATF 141 III 23 consid. 3.2, 138 III 123 consid. 2.1.2 consid. 3.3; arrêt du Tribunal fédéral 4A_282/2015 du 27 juillet 2015 consid. 2.1).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4A_282/2015 du 27 juillet 2015 consid. 2.1).</w:t>
      </w:r>
    </w:p>
    <w:p>
      <w:r>
        <w:t>4.3.2 Une particularité du droit suisse est de permettre l'introduction d'une poursuite sans devoir prouver l'existence de la créance; le titre exécutoire n'est pas la créance elle-même ni le titre qui l'incorpore éventuellement, mais seulement le commandement de payer passé en force (ATF 113 III 2 consid. 2b p. 3; arrêt du Tribunal fédéral 5A_250/2015 du 10 septembre 2015 consid. 4.1).</w:t>
      </w:r>
    </w:p>
    <w:p>
      <w:r>
        <w:t>Les actes de poursuite sont notifiés au débiteur dans sa demeure ou à l’endroit où il exerce habituellement sa profession. S’il est absent, l’acte peut être remis à une personne adulte de son ménage ou à un employé (art. 64 al. 1 LP).</w:t>
      </w:r>
    </w:p>
    <w:p>
      <w:r>
        <w:t>Il y a solidarité entre plusieurs créanciers, lorsque le débiteur déclare conférer à chacun d'eux le droit de demander le paiement intégral de la créance, et lorsque cette solidarité est prévue par la loi (art. 150 al. 1 CO).</w:t>
      </w:r>
    </w:p>
    <w:p>
      <w:r>
        <w:t>Selon l'art. 166 CC al. 1, chaque époux représente l’union conjugale pour les besoins courants de la famille pendant la vie commune.</w:t>
      </w:r>
    </w:p>
    <w:p>
      <w:r>
        <w:t>4.3.3 Dans l'arrêt de principe publié aux ATF 128 III 334, confirmé par la suite (cf. p. ex. ATF 132 III 277 consid. 4.2), le Tribunal fédéral a posé que, lorsque la poursuite demeure au stade de l'opposition sans que le créancier n'ouvre action en reconnaissance de dette ou ne requière la mainlevée de l'opposition, le débiteur</w:t>
      </w:r>
    </w:p>
    <w:p>
      <w:r>
        <w:t>- 7/9 -</w:t>
      </w:r>
    </w:p>
    <w:p>
      <w:r>
        <w:t>C/15006/2015 indûment poursuivi ne peut pas solliciter l'office des poursuites d'impartir au créancier un délai de forclusion pour agir; le débiteur dispose, à défaut de l'action de l'art. 85a LP, de l'action générale en constatation de l'inexistence de la créance déduite en poursuite, dont le jugement, s'il constate la nullité de dite poursuite, permet d'empêcher la communication de celle-ci aux tiers sur la base de l'art. 8a al. 3 let. a LP (arrêt du Tribunal fédéral 4A_399/2011 du 19 octobre 2011 consid. 1.2.2).</w:t>
      </w:r>
    </w:p>
    <w:p>
      <w:r>
        <w:t>La recevabilité de l'action négatoire de droit est subordonnée à l'existence d'un intérêt digne de protection à ce que soit levée l'incertitude juridique qui règne dans les relations juridiques nées entre les parties. Peut se prévaloir d'un tel intérêt à la constatation immédiate de la situation de droit la partie dont on ne peut exiger qu'elle tolère plus longtemps le maintien de cette incertitude, parce que celle-ci l'entrave dans sa liberté de décision, en portant singulièrement atteinte à sa réputation (ATF 135 III 378 consid. 2.2).</w:t>
      </w:r>
    </w:p>
    <w:p>
      <w:r>
        <w:t>S'agissant de l'inconvénient généré par l'inscription de la poursuite au registre tenu par l'office, le Tribunal fédéral a jugé qu'une inscription porte atteinte au crédit et à la réputation du poursuivi s'il s'agit de grosses sommes, et pas seulement de poursuites isolées pour de faibles montants (ATF 120 II 20 consid. 3b; arrêt du Tribunal fédéral 4A_399/2011 du 19 octobre 2011 consid. 3.1).</w:t>
      </w:r>
    </w:p>
    <w:p>
      <w:r>
        <w:rPr>
          <w:b/>
        </w:rPr>
        <w:t>E. 4.4</w:t>
      </w:r>
    </w:p>
    <w:p>
      <w:r>
        <w:t>En l'espèce, l'appelant ne peut déduire aucun argument en sa faveur à la suite de la notification par l'Office des poursuites de la poursuite diligentée à l'encontre de l'intimée, puisque l'introduction d'une poursuite n'est pas soumise à la preuve préalable de l'existence de la créance.</w:t>
      </w:r>
    </w:p>
    <w:p>
      <w:r>
        <w:t>Il apparaît de manière univoque que l'appelant a dirigé la poursuite n° 1______ à l'encontre de l'intimée parce qu'en formant opposition à la première poursuite, n° 2______ dirigée à l'encontre de son mari, il en avait déduit à tort qu'elle avait formé opposition pour ce dernier et "pour elle-même". Or, elle n'a pas formé opposition pour "elle-même", mais a uniquement reçu notification de la poursuite n° 2______ pour le compte de son mari, en sa qualité d'adulte faisant partie de son ménage commun, en application de l'art. 64 al. 1 LP.</w:t>
      </w:r>
    </w:p>
    <w:p>
      <w:r>
        <w:t>Ensuite, l'appelant soutient avoir dû notifier la poursuite n° 1______ en raison de l'incertitude relative au régime matrimonial des époux ______. Or, l'appelant, nonobstant avoir reçu confirmation le 6 octobre 2015 que les époux ______ avaient adopté le régime matrimonial de la séparation de biens, n'a pas donné contrordre à la poursuite, mais l'a maintenue en argumentant qu'en tout état de cause l'intimée représentait l'union conjugale.</w:t>
      </w:r>
    </w:p>
    <w:p>
      <w:r>
        <w:t>Il ressort cependant de la cause de la créance indiquée par l'appelant qu'elle résulte, selon lui, d'une convention contractuelle de change, de sorte qu'elle ne concerne pas les besoins de la famille au sens de l'art. 166 CC. Il n'existe ainsi</w:t>
      </w:r>
    </w:p>
    <w:p>
      <w:r>
        <w:t>- 8/9 -</w:t>
      </w:r>
    </w:p>
    <w:p>
      <w:r>
        <w:t>C/15006/2015 aucune solidarité légale entre les parties (art. 150 CO). L'argumentation de l'appelant en relation avec l'affectation de la somme déduite en poursuite n'est, dès lors, pas pertinente.</w:t>
      </w:r>
    </w:p>
    <w:p>
      <w:r>
        <w:t>Enfin, l'appelant a admis n'avoir jamais conclu de contrat avec l'intimée, de sorte que la cause de la créance se référant à une convention contractuelle de change ne la concerne pas. Pour le surplus, il n'a pas allégué que l'intimée se serait déclarée solidairement responsable aux côtés de son mari, de sorte qu'elle ne peut pas être poursuivie en qualité de co-débitrice de celui-là (art. 150 CO).</w:t>
      </w:r>
    </w:p>
    <w:p>
      <w:r>
        <w:t>Il résulte de ce qui précède que c'est avec raison que le Tribunal a admis l'action négatoire de droit de l'intimée à l'encontre de cette poursuite abusivement dirigée contre elle. Son montant de 101'124 fr. 15 porte nécessairement atteinte au crédit et à la réputation de l'intimée, de sorte que son intérêt digne de protection à la radiation de la poursuite en cause est évident et établi.</w:t>
      </w:r>
    </w:p>
    <w:p>
      <w:r>
        <w:rPr>
          <w:b/>
        </w:rPr>
        <w:t>E. 5</w:t>
      </w:r>
    </w:p>
    <w:p>
      <w:r>
        <w:t>En raison de l'issue de l'appel, la Cour de céans confirmera les frais et dépens de première instance.</w:t>
      </w:r>
    </w:p>
    <w:p>
      <w:r>
        <w:t>L'appelant, qui succombe entièrement, supportera les frais de l'appel arrêtés à 2'000 fr., couverts par son avance de frais qui reste acquise à l'Etat de Genève (art. 106 et 111 CPC, art. 2 et 26 RTFMC).</w:t>
      </w:r>
    </w:p>
    <w:p>
      <w:r>
        <w:t>Il sera en outre condamné à verser à sa partie adverse 4'000 fr. débours et TVA compris à titre de dépens (art. 85, 88 et 90 RTFMC). * * * * *</w:t>
      </w:r>
    </w:p>
    <w:p>
      <w:r>
        <w:t>- 9/9 -</w:t>
      </w:r>
    </w:p>
    <w:p>
      <w:r>
        <w:t>C/15006/2015 PAR CES MOTIFS, La Chambre civile : A la forme : Déclare recevable l'appel interjeté par A______ contre le jugement JTPI/12830/2015 rendu le 3 novembre 2015 par le Tribunal de première instance dans la cause C/15006/2015-20 SCC. Au fond : Confirme le jugement querellé. Déboute les parties de toutes autres conclusions. Sur les frais : Arrête les frais judiciaires d'appel à 2'000 fr., les met à la charge de A______ et les compense avec l'avance de frais fournie, qui reste acquise à l'Etat de Genève. Condamne A______ à payer 4'000 fr. à B______ au titre de dépens d'appel.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