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ACJC/323/2026 vom 20. Februar 2026</w:t>
      </w:r>
    </w:p>
    <w:p>
      <w:r>
        <w:t>GE Cour de justice, 2026-02-20, FR</w:t>
      </w:r>
    </w:p>
    <w:p>
      <w:r>
        <w:rPr>
          <w:b/>
        </w:rPr>
        <w:t xml:space="preserve">Quelle: </w:t>
      </w:r>
      <w:r>
        <w:t>https://mcp.opencaselaw.ch/entscheid/ge_gerichte_ACJC_323_2026</w:t>
      </w:r>
    </w:p>
    <w:p>
      <w:r>
        <w:t>FR: GE_GERICHTE ACJC/323/2026 du 20 février 2026</w:t>
      </w:r>
    </w:p>
    <w:p>
      <w:r>
        <w:t>IT: GE_GERICHTE ACJC/323/2026 del 20 febbraio 2026</w:t>
      </w:r>
    </w:p>
    <w:p>
      <w:pPr>
        <w:pStyle w:val="Heading2"/>
      </w:pPr>
      <w:r>
        <w:t>Erwägungen</w:t>
      </w:r>
    </w:p>
    <w:p>
      <w:r>
        <w:rPr>
          <w:b/>
        </w:rPr>
        <w:t>E. 1</w:t>
      </w:r>
    </w:p>
    <w:p>
      <w:r>
        <w:t>1.1.1 La Chambre civile de la Cour de justice connaît en instance unique des litiges relevant de la loi fédérale du 19 décembre 1986 contre la concurrence déloyale (LCD; RS 241) lorsque la valeur litigieuse dépasse 30'000 fr. (art. 5 al. 1 let. d CPC; art. 120 al. 1 let. a LOJ). Cette compétence vaut également pour statuer sur les mesures provisionnelles requises avant litispendance (art. 5 al. 2 CPC). 1.1.2 En l'espèce, la requérante fonde ses prétentions sur la LCD et évalue le préjudice qui découlerait des actes dont elle se plaint à 499'378 fr. par année. Cette estimation ne paraît pas, en l'état, manifestement exagérée au vu des faits allégués, de sorte que la Cour est compétente à raison de la matière pour connaître du présent litige en instance unique.</w:t>
      </w:r>
    </w:p>
    <w:p>
      <w:r>
        <w:rPr>
          <w:b/>
        </w:rPr>
        <w:t>E. 1.2</w:t>
      </w:r>
    </w:p>
    <w:p>
      <w:r>
        <w:t>La requérante et la citée ayant leur siège à Genève, la Cour est également compétente à raison du lieu (art. 13 et 36 CPC).</w:t>
      </w:r>
    </w:p>
    <w:p>
      <w:r>
        <w:rPr>
          <w:b/>
        </w:rPr>
        <w:t>E. 1.3</w:t>
      </w:r>
    </w:p>
    <w:p>
      <w:r>
        <w:t>Pour le surplus, la requête respecte les exigences de forme prévues (art. 130 ss et 252 CPC).</w:t>
      </w:r>
    </w:p>
    <w:p>
      <w:r>
        <w:rPr>
          <w:b/>
        </w:rPr>
        <w:t>E. 1.4</w:t>
      </w:r>
    </w:p>
    <w:p>
      <w:r>
        <w:t>La requête de mesures superprovisionnelles est ainsi recevable.</w:t>
      </w:r>
    </w:p>
    <w:p>
      <w:r>
        <w:rPr>
          <w:b/>
        </w:rPr>
        <w:t>E. 1.5</w:t>
      </w:r>
    </w:p>
    <w:p>
      <w:r>
        <w:t>Les mesures provisionnelles sont soumises à la procédure sommaire (art. 248 let. d CPC), dans le cadre de laquelle, sauf exceptions (cf. art. 255 CPC), la maxime des débats prévaut (art. 55 CPC; HALDY, in Commentaire romand, Code de procédure civile, 2ème éd., 2019, n. 16 ad art. 55 CPC). La maxime de disposition est par ailleurs applicable (art. 58 al. 1 CPC). Dans le cadre des mesures provisionnelles, le juge peut se limiter à la vraisemblance des faits et à l'examen sommaire du droit, en se fondant sur les moyens de preuve immédiatement disponibles (ATF 139 III 86 consid. 4.2; 131 III 473 consid. 2.3; arrêt du Tribunal fédéral 5A_520/2021 du 12 janvier 2022 consid. 5.2.2.2).</w:t>
      </w:r>
    </w:p>
    <w:p>
      <w:r>
        <w:t>- 5/8 -</w:t>
      </w:r>
    </w:p>
    <w:p>
      <w:r>
        <w:t>C/3952/2026</w:t>
      </w:r>
    </w:p>
    <w:p>
      <w:r>
        <w:rPr>
          <w:b/>
        </w:rPr>
        <w:t>E. 2</w:t>
      </w:r>
    </w:p>
    <w:p>
      <w:r>
        <w:t>La requérante soutient qu'elle fait face à un débauchage massif, systématique et frauduleux de sa clientèle par la citée. Trois de ses anciens employés siphonnaient de manière concertée l'intégralité de sa clientèle au profit de la citée par des actes de dénigrement, tromperie délibérée des clients, destruction de preuves et création d'une structure concurrente opérationnelle. 39 clients avaient déjà rompu leur relation avec elle et il subsistait un risque de perte de 45 clients supplémentaires. Il y avait donc urgence. Elle fait également mention d'un risque réputationnel et le fait qu'elle ne pourrait que difficilement récupérer des clients qui auraient été débauchés. Il y avait une urgence particulière dans la mesure où il existait un danger imminent de perte de sa clientèle, le débauchage se produisant à une vitesse fulgurante. La requérante invoque à l'appui de sa requête une violation par la citée des art. 2,</w:t>
      </w:r>
    </w:p>
    <w:p>
      <w:r>
        <w:rPr>
          <w:b/>
        </w:rPr>
        <w:t>E. 2.1.1</w:t>
      </w:r>
    </w:p>
    <w:p>
      <w:r>
        <w:t>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L'art. 262 CPC prévoit que le tribunal peut ordonner toute mesure provisionnelle propre à prévenir ou à faire cesser le préjudice, notamment l'interdiction et l'ordre de cessation d'un état de fait illicite. En cas d'urgence particulière, notamment s'il y a risque d'entrave à leur exécution, le juge peut ordonner des mesures provisionnelles immédiatement, sans entendre les parties (art. 265 al. 1 CPC).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BOHNET, Commentaire romand, 2ème éd., 2019, n 3 ss ad art. 261 CPC). Est difficilement réparable le préjudice qui sera plus tard impossible ou difficile à mesurer ou à compenser entièrement; en principe, un préjudice financier n'est pas difficilement réparable (JdT 2016 III 188; JdT 2013 III 131). Le juge doit procéder à la pesée des intérêts en présence, c'est-à-dire à l'appréciation des désavantages respectifs pour chacune des parties selon que la mesure requise est ou non ordonnée (HOHL, Procédure civile I, n° 1780). La</w:t>
      </w:r>
    </w:p>
    <w:p>
      <w:r>
        <w:t>- 6/8 -</w:t>
      </w:r>
    </w:p>
    <w:p>
      <w:r>
        <w:t>C/3952/2026 mesure ordonnée doit être proportionnée au risque d'atteinte (arrêt du Tribunal fédéral 4A_611/2011 du 3 janvier 2012 consid. 4.1).</w:t>
      </w:r>
    </w:p>
    <w:p>
      <w:r>
        <w:rPr>
          <w:b/>
        </w:rPr>
        <w:t>E. 2.1.2</w:t>
      </w:r>
    </w:p>
    <w:p>
      <w:r>
        <w:t>Selon l'art. 3 LCD, agit de façon déloyale celui qui, notamment,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(let. b), porte ou utilise des titres ou des dénominations professionnelles inexacts, qui sont de nature à faire croire à des distinctions ou capacités particulières (let. c) ou prend des mesures qui sont de nature à faire naître une confusion avec les marchandises, les œuvres, les prestations ou les affaires d'autrui (let. d). L'art. 4 LCD prévoit qu'agit de façon déloyale celui qui incite un client à rompre un contrat en vue d'en conclure un autre avec lui (let. a) ou incite des travailleurs, mandataires ou auxiliaires à trahir ou à surprendre des secrets de fabrication ou d'affaires de leur employeur ou mandant (let. c). Selon l'art. 6 LCD, agit de façon déloyale celui qui, notamment, exploite ou divulgue des secrets de fabrication ou d'affaires qu'il a surpris ou dont il a eu indûment connaissance d'une autre manière. Celui qui par un acte de concurrence déloyale, subit une atteinte dans sa clientèle, son crédit ou sa réputation professionnelle, ses affaires ou ses intérêts économiques en général ou celui qui en est menacé peut notamment demander au juge d'interdire cette atteinte si elle est imminente ou de la faire cesser si elle dure encore (art. 9 al. 1 let. a et b LCD).</w:t>
      </w:r>
    </w:p>
    <w:p>
      <w:r>
        <w:rPr>
          <w:b/>
        </w:rPr>
        <w:t>E. 2.2</w:t>
      </w:r>
    </w:p>
    <w:p>
      <w:r>
        <w:t>En l'espèce, la requérante a rendu vraisemblable que D______ avait adressé à ses clients un courriel faisant faussement état de ce qu'elle changeait de dénomination pour devenir G______ SARL. Cette structure n'a cependant, vraisemblablement, pas d'activité. Il sera par ailleurs retenu à ce stade, au terme de l'examen sur mesures superprovisionnelles, qu'aucun lien direct entre G______ SARL et la citée ne peut être admis de manière suffisamment vraisemblable. La requérante a adressé un courrier à ses clients faisant état d'un détournement de clientèle par D______, de sorte que les clients sont au courant de la situation et que le risque de confusion ou de tromperie, et ainsi de départ non véritablement désiré, est vraisemblablement écarté en l'état. L'activité reprochée à la citée aurait débuté en décembre déjà et la requérante fait état de 39 clients ayant rompus leurs relations avec elle au 14 janvier 2026 (de sorte que désormais, ils connaissent vraisemblablement l'absence de lien entre la requérante et la citée). En l'absence de clôture de compte depuis cette dernière</w:t>
      </w:r>
    </w:p>
    <w:p>
      <w:r>
        <w:t>- 7/8 -</w:t>
      </w:r>
    </w:p>
    <w:p>
      <w:r>
        <w:t>C/3952/2026 date, la situation ne présente vraisemblablement pas d'urgence particulière et un risque d'accélération des débauchages lorsque la citée aura eu connaissance de la requête n'est pas rendu vraisemblable. En définitive, en l'absence d'urgence particulière au sens de l'art. 265 CPC, les conditions pour le prononcé des mesures superprovisionnelles requises ne sont pas remplies.</w:t>
      </w:r>
    </w:p>
    <w:p>
      <w:r>
        <w:rPr>
          <w:b/>
        </w:rPr>
        <w:t>E. 3</w:t>
      </w:r>
    </w:p>
    <w:p>
      <w:r>
        <w:t>Un délai de dix jours dès la notification du présent arrêt sera imparti à la citée pour répondre à la requête (art. 265 al. 2 CPC).</w:t>
      </w:r>
    </w:p>
    <w:p>
      <w:r>
        <w:rPr>
          <w:b/>
        </w:rPr>
        <w:t>E. 4</w:t>
      </w:r>
    </w:p>
    <w:p>
      <w:r>
        <w:t>Le sort des frais sera renvoyé à la décision sur mesures provisionnelles (art. 104 al. 3 CPC). * * * * *</w:t>
      </w:r>
    </w:p>
    <w:p>
      <w:r>
        <w:t>- 8/8 -</w:t>
      </w:r>
    </w:p>
    <w:p>
      <w:r>
        <w:t>C/3952/2026 PAR CES MOTIFS, La Chambre civile :</w:t>
      </w:r>
    </w:p>
    <w:p>
      <w:r>
        <w:t>Statuant sur mesures superprovisionnelles : Rejette la requête formée le 19 février 2026 par A______ SA dans la cause C/3952/2026. Impartit à B______ SA un délai de dix jours dès notification du présent arrêt pour répondre par écrit à la requête de mesures provisionnelles. Dit qu'il sera statué sur les frais de la présente décision avec la décision sur mesures provisionnelles. Siégeant : Monsieur Laurent RIEBEN, président; Madame Jessica ATHMOUNI, greffière.</w:t>
      </w:r>
    </w:p>
    <w:p>
      <w:r>
        <w:t>S'agissant de mesures superprovisionnelles, il n'y a pas de voie de recours au Tribunal fédéral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