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ACJC/323/2022 vom 8. März 2022</w:t>
      </w:r>
    </w:p>
    <w:p>
      <w:r>
        <w:t>GE Cour de justice, 2022-03-08, FR</w:t>
      </w:r>
    </w:p>
    <w:p>
      <w:r>
        <w:rPr>
          <w:b/>
        </w:rPr>
        <w:t xml:space="preserve">Quelle: </w:t>
      </w:r>
      <w:r>
        <w:t>https://mcp.opencaselaw.ch/entscheid/ge_gerichte_ACJC_323_2022</w:t>
      </w:r>
    </w:p>
    <w:p>
      <w:r>
        <w:t>FR: GE_GERICHTE ACJC/323/2022 du 8 mars 2022</w:t>
      </w:r>
    </w:p>
    <w:p>
      <w:r>
        <w:t>IT: GE_GERICHTE ACJC/323/2022 del 8 marzo 2022</w:t>
      </w:r>
    </w:p>
    <w:p>
      <w:pPr>
        <w:pStyle w:val="Heading2"/>
      </w:pPr>
      <w:r>
        <w:t>Erwägungen</w:t>
      </w:r>
    </w:p>
    <w:p>
      <w:r>
        <w:rPr>
          <w:b/>
        </w:rPr>
        <w:t>E. 1.1</w:t>
      </w:r>
    </w:p>
    <w:p>
      <w:r>
        <w:t>L'appel est recevable pour avoir été interjeté auprès de l'autorité compétente (art. 120 al. 1 let. a LOJ), dans le délai utile de 30 jours (art. 142 al. 1 et 3, 145 al. 1 let. c et 311 al. 1 CPC) et selon la forme prescrite par la loi (art. 130, 131 et 311 CPC), à l'encontre d'une décision finale (art. 308 al. 1 let. a CPC) qui statue notamment sur les droits parentaux relatifs à un enfant mineur, soit une affaire non pécuniaire dans son ensemble (arrêt du Tribunal fédéral 5A_217/2017 du 21 juin 2017 consid. 1.2).</w:t>
      </w:r>
    </w:p>
    <w:p>
      <w:r>
        <w:rPr>
          <w:b/>
        </w:rPr>
        <w:t>E. 1.2</w:t>
      </w:r>
    </w:p>
    <w:p>
      <w:r>
        <w:t>La Cour revoit la cause en fait et en droit avec un plein pouvoir d'examen (art. 310 CPC).</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5A_843/2018 du 12 février 2020 consid. 5.2).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 du Tribunal fédéral 5A_392/2021 du 20 juillet 2021 consid. 3.4.1.1 et la jurisprudence citée). En seconde instance, les maximes des débats et de disposition, ainsi que l'interdiction de la reformatio in pejus, sont applicables (ATF 129 III 481 consid. 3.3; arrêt du Tribunal fédéral 5A_392/2021 précité).</w:t>
      </w:r>
    </w:p>
    <w:p>
      <w:r>
        <w:rPr>
          <w:b/>
        </w:rPr>
        <w:t>E. 2</w:t>
      </w:r>
    </w:p>
    <w:p>
      <w:r>
        <w:t>Les parties ont déposé des pièces nouvelles en appel.</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arrêt du Tribunal fédéral 5A_392/2021 du 20 juillet 2021 consid. 3.4.1.2).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celle-ci a communiqué aux parties que la cause a été gardée à juger (ATF 142 III 413 consid. 2.2.5-2.2.6; cf. arrêt du Tribunal fédéral 5A_290/2020 du 8 décembre 2020 consid. 3.3.5).</w:t>
      </w:r>
    </w:p>
    <w:p>
      <w:r>
        <w:t>- 14/27 -</w:t>
      </w:r>
    </w:p>
    <w:p>
      <w:r>
        <w:t>C/10990/2017</w:t>
      </w:r>
    </w:p>
    <w:p>
      <w:r>
        <w:rPr>
          <w:b/>
        </w:rPr>
        <w:t>E. 2.2</w:t>
      </w:r>
    </w:p>
    <w:p>
      <w:r>
        <w:t>En l'espèce, les nouvelles pièces produites par les parties devant la Cour sont recevables, ainsi que les faits qui s'y rapportent, dès lors qu'elles sont en relation avec les droits parentaux et l'entretien de leur fille mineure et ont été déposées avant que la Cour n'informe les parties que la cause était gardée à juger.</w:t>
      </w:r>
    </w:p>
    <w:p>
      <w:r>
        <w:rPr>
          <w:b/>
        </w:rPr>
        <w:t>E. 3</w:t>
      </w:r>
    </w:p>
    <w:p>
      <w:r>
        <w:t>L'intimé a conclu à ce qu'il soit ordonné à l'appelante de produire ses trois dernières fiches de salaires ainsi que celles de son compagnon et a demandé qu'un délai lui soit octroyé pour la production des traductions libres des pièces produites en langue grecque avec sa dernière écriture.</w:t>
      </w:r>
    </w:p>
    <w:p>
      <w:r>
        <w:rPr>
          <w:b/>
        </w:rPr>
        <w:t>E. 3.1</w:t>
      </w:r>
    </w:p>
    <w:p>
      <w:r>
        <w:t>Conformément à l'art. 316 al. 3 CPC, l'instance d'appel peut librement décider d'administrer des preuves lorsqu'elle l'estime opportun. Elle peut néanmoins, même lorsque le procès est soumis à la maxime inquisitoire en vertu de l'art. 296 al. 1 CPC applicable aux questions concernant les enfants,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 L'autorité jouit d'un large pouvoir d'appréciation (ATF 142 III 413 consid. 2.2.1; arrêt du Tribunal fédéral 5A_37/2017 du 10 juillet 2017 consid. 3.1.2).</w:t>
      </w:r>
    </w:p>
    <w:p>
      <w:r>
        <w:rPr>
          <w:b/>
        </w:rPr>
        <w:t>E. 3.2</w:t>
      </w:r>
    </w:p>
    <w:p>
      <w:r>
        <w:t>En l'espèce, la Cour est à même d'estimer les revenus de l'appelante et de son compagnon sur la base des documents d'ores et déjà produits, de sorte qu'elle se considère suffisamment renseignée sur la situation financière de ceux-ci pour se déterminer sur le montant de la contribution d'entretien due à C______. Par ailleurs, la traduction des documents grecs ne s'avère pas nécessaire dès lors qu'ils portent sur des faits non pertinents pour l'issue du litige. L'intimé sera ainsi débouté de ses conclusions préalables.</w:t>
      </w:r>
    </w:p>
    <w:p>
      <w:r>
        <w:rPr>
          <w:b/>
        </w:rPr>
        <w:t>E. 4</w:t>
      </w:r>
    </w:p>
    <w:p>
      <w:r>
        <w:t>L'appelante reproche au Tribunal d'avoir maintenu l'autorité parentale conjointe sur C______ et en réclame l'attribution exclusive.</w:t>
      </w:r>
    </w:p>
    <w:p>
      <w:r>
        <w:rPr>
          <w:b/>
        </w:rPr>
        <w:t>E. 4.1</w:t>
      </w:r>
    </w:p>
    <w:p>
      <w:r>
        <w:t>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w:t>
      </w:r>
    </w:p>
    <w:p>
      <w:r>
        <w:t>- 15/27 -</w:t>
      </w:r>
    </w:p>
    <w:p>
      <w:r>
        <w:t>C/10990/2017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arrêt du Tribunal fédéral 5A_482/2020 du 14 octobre 2021 consid. 3.1.1).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142 III 1 consid. 2.1).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 du Tribunal fédéral 5A_842/2020 précité).</w:t>
      </w:r>
    </w:p>
    <w:p>
      <w:r>
        <w:rPr>
          <w:b/>
        </w:rPr>
        <w:t>E. 4.2</w:t>
      </w:r>
    </w:p>
    <w:p>
      <w:r>
        <w:t>En l'espèce, pour justifier de l'attribution de l'autorité parentale exclusive en sa faveur, l'appelante fait état d'une absence de communication entre les parents qui rendrait impossible la prise de décisions importantes concernant l'enfant. Elle fait valoir que les relations avec l'intimé sont conflictuelles. Elle avait reçu de nombreuses menaces et avait été harcelée par l'intimé, par messagerie et oralement, de sorte qu'elle lui avait demandé de ne plus s'adresser à elle. Si la communication entre les parties est actuellement mise à mal car elles s'opposent quant à l'attribution des droits parentaux, il est à prévoir que la</w:t>
      </w:r>
    </w:p>
    <w:p>
      <w:r>
        <w:t>- 16/27 -</w:t>
      </w:r>
    </w:p>
    <w:p>
      <w:r>
        <w:t>C/10990/2017 situation sera apaisée une fois les droits et devoirs de chacun fixés à l'issue de la procédure. Contrairement à ce qu'allègue l'appelante, il existe une communication entre les parents puisqu'ils ont su échanger lorsqu'il s'est agi de renouveler les documents d'identité de leur fille. Les difficultés entre les parents reposent essentiellement sur des malentendus. Ainsi, l'appelante se prévaut du fait que l'intimé aurait refusé de lui donner procuration pour refaire les documents d'identité de l'enfant. Mais l'intimé a expliqué qu'il avait proposé, dans un premier temps, de se rendre à la mairie avec l'appelante et C______ à cette fin. Il ignorait alors que les règles sanitaires impliquaient que l'enfant ne soit accompagné que par un seul parent et si son droit de visite était certes limité à un Point Rencontre, l'intimé a pu légitimement penser qu'il pouvait être présent compte tenu de la présence de l'appelante. Ce quiproquo n'a d'ailleurs pas porté à conséquence pour l'enfant puisque, une fois informé, l'intimé a donné procuration à l'appelante qui a pu obtenir des nouveaux documents. Par ailleurs, l'appelante n'a pas rendu vraisemblable que l'intimé l'aurait harcelée ou menacée au point qu'il soit justifié qu'elle refuse tout échange avec lui. Il lui appartient donc de continuer d'échanger avec l'intimé sur les questions faisant partie de l'autorité parentale. L'intimé a toujours été impliqué dans la vie de sa fille, même s'il a pris de la distance compte tenu de la procédure, et il n'a pas adopté de mauvaises décisions pour l'enfant s'agissant de sa santé ou de son éducation. L'incident qui se serait déroulé en Grèce en été 2021, soit que l'intimé aurait suivi l'appelante et l'enfant lors de leurs vacances, outre qu'il ne repose que sur les allégations de l'appelante, ne portait pas sur une question relevant de l'autorité parentale et un retrait de celle- ci n'empêcherait pas un tel épisode de se reproduire. Enfin, la condamnation pénale de l'intimé ne permet pas de retenir que ce dernier serait incapable de prendre des décisions dans l'intérêt de sa fille en concertation avec l'appelante s'agissant des points touchant à l'autorité parentale. Cette condamnation est uniquement pertinente dans le cadre de l'étendue du droit de visite de l'intimé. Compte tenu de ce qui précède, c'est à juste titre que le premier juge a considéré que rien ne s'opposait au maintien de l'autorité parentale conjointe des parties sur C______. Par conséquent, le chiffre 2 du dispositif du jugement querellé sera confirmé.</w:t>
      </w:r>
    </w:p>
    <w:p>
      <w:r>
        <w:rPr>
          <w:b/>
        </w:rPr>
        <w:t>E. 5</w:t>
      </w:r>
    </w:p>
    <w:p>
      <w:r>
        <w:t>L'appelante reproche au Tribunal d'avoir fixé l'étendue du droit de visite de l'intimé sans qu'une expertise psychiatrique sexologique de celui-ci ne soit préalablement réalisée. Elle conclut à ce que cette expertise soit ordonnée par la Cour avant que ne soit fixée à nouveau l'étendue du droit de visite de l'intimé. 5.1.1 Conformément à l'art. 316 al. 3 CPC, l'instance d'appel peut librement décider d'administrer des preuves : elle peut ainsi ordonner que des preuves</w:t>
      </w:r>
    </w:p>
    <w:p>
      <w:r>
        <w:t>- 17/27 -</w:t>
      </w:r>
    </w:p>
    <w:p>
      <w:r>
        <w:t>C/10990/2017 administrées en première instance le soient à nouveau devant elle, faire administrer des preuves écartées par le tribunal de première instance ou encore décider l'administration de toutes autres preuves. Parmi les preuves qui peuvent être administrées figure, notamment, l'expertise (art. 168 al. 1 let. d CPC). Le juge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plus étendues en la matière leur permettant d'émettre un avis plus fiable sur la question (SCHWEIZER, CR-CPC, 2019, n. 1 et 3 art.183 CPC) L'instance d'appel qui considère que le premier juge n'a pas administré de preuve sur tous les faits pertinents peut procéder elle-même aux investigations nécessaires et compléter l'état de fait. Elle renoncera cependant à procéder elle- même à des vérifications et renverra la cause au tribunal de première instance lorsque l'instruction à laquelle celui-ci a procédé est incomplète sur des points essentiels (art. 318 al. 1 let. c ch. 2 CPC; ATF 138 III 374 consid. 4.3.2; arrêt du Tribunal fédéral 5A_476/2015 du 19 novembre 2015 consid. 3.3.3). 5.1.2 L'art. 273 al. 1 CC prévoit que le père ou la mère qui ne détient pas l'autorité parentale ou la garde ainsi que l'enfant mineur ont réciproquement le droit d'entretenir les relations personnelles indiquées par les circonstances. Le droit aux relations personnelles est conçu comme un droit-devoir réciproque qui sert en premier lieu les intérêts de l'enfant (ATF 131 III 209 consid. 5; arrêt du Tribunal fédéral 5A_983/2019 du 13 novembre 2020 consid. 7.1).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du 6 novembre 2019 consid. 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w:t>
      </w:r>
    </w:p>
    <w:p>
      <w:r>
        <w:rPr>
          <w:b/>
        </w:rPr>
        <w:t>E. 5.2</w:t>
      </w:r>
    </w:p>
    <w:p>
      <w:r>
        <w:t>En l'espèce, le père et la fille sont très proches et à ce jour il n'a pas été rapporté que l'intimé aurait adopté comportement préjudiciable envers l'enfant. Cela étant, l'intimé a fait l'objet d'une condamnation pour détention d'une vidéo pédopornographique. Il est donc légitime de s'interroger sur la mise en danger de</w:t>
      </w:r>
    </w:p>
    <w:p>
      <w:r>
        <w:t>- 18/27 -</w:t>
      </w:r>
    </w:p>
    <w:p>
      <w:r>
        <w:t>C/10990/2017 l'enfant – dont l'âge approche de celui mentionné sur la vidéo ("12 ans") – lors de l'exercice du droit de visite du père avant de pouvoir en déterminer l'étendue. Dans le cadre de l'expertise familiale ordonné par le Tribunal, les experts ont soumis leur dossier au médecin adjoint aux HUG spécialisé en sexologie. Ce dernier, selon les informations qui lui avaient été transmises, soit les dires de l'intimé, ceux de l'appelante et les éléments du dossier pénal incomplet, n'a pas pu exclure chez l'intimé un trouble de voyeurisme voire de pédophilie. Les experts ont ainsi préconisé une expertise psychiatrique afin d'établir si l'intimé était atteint ou non d'une pathologie sexuelle. Certes, l'intimé a été suivi par le service de sexologie des HUG en juin 2020 et les médecins qui l'ont rencontré n'ont pas mis en évidence d'éléments attestant d'une hypersexualité ni d'une paraphilie (comportements sexuels fréquents et intenses portant sur des objets inanimés, des enfants ou des adultes non consentants ou bien impliquant la souffrance ou l'humiliation de soi-même ou de son partenaire) car en parlant de sa vie sexuelle l'intimé ne décrivait aucun comportement pathologique. La psychiatre de l'intimé a attesté avoir eu accès au dossier pénal de celui-ci. On ignore toutefois quels éléments ont été portés à la connaissance des médecins du service de sexologie, étant rappelé que les experts ayant rendu l'expertise familiale avaient considéré le dossier pénal comme incomplet. Par conséquent, il ne peut être retenu que cet avis remplace une expertise psychiatrique de l'intimé. Cela est d'autant plus vrai que ledit avis consiste en une seule ligne de conclusion, sans aucune explication sur les motifs ayant permis d'y aboutir. Or, il appartient au juge de se forger un avis sur la base d'une explication détaillée de la situation et non de suivre l'avis non étayé du médecin traitant de l'intimé. En outre, l'obligation pour l'intimé de suivre un traitement thérapeutique à la suite de sa condamnation pénale a pris fin de sorte qu'il est susceptible de le cesser à tout moment; en tout état, il n'est pas certain que le suivi d'un tel traitement soit propre à garantir que l'intimé ne présente pas un danger pour sa fille. Par conséquent, une expertise psychiatrique de l'intimé s'impose afin de déterminer s'il est atteint d'une pathologie sexuelle qui pourrait mettre C______ en danger lors de l'exercice du droit de visite. Cette mesure ne peut être remplacée par une mesure moins incisive comme l'audition des thérapeutes de l'intimé puisque qu'aucun d'eux n'a eu connaissance de l'ensemble de la procédure pénale. Compte tenu du caractère médical de la question, il est nécessaire que le juge, qui ne dispose pas de connaissance approfondies particulière en psychiatrie, fasse appel à l'aide d'un expert, conformément à ce que prévoit l'art. 183 CPC. Par conséquent, le chiffre 5 du dispositif du jugement attaqué sera annulé.</w:t>
      </w:r>
    </w:p>
    <w:p>
      <w:r>
        <w:t>- 19/27 -</w:t>
      </w:r>
    </w:p>
    <w:p>
      <w:r>
        <w:t>C/10990/2017 Vu la question essentielle à instruire (art. 318 al. 1 let. c ch. 2 CPC) et dans le respect du principe du double degré de juridiction, la cause sera renvoyée au premier juge en vue d'administrer cette nouvelle mesure d'instruction et de rendre une nouvelle décision sur les modalités du droit de visite de l'intimé.</w:t>
      </w:r>
    </w:p>
    <w:p>
      <w:r>
        <w:rPr>
          <w:b/>
        </w:rPr>
        <w:t>E. 6</w:t>
      </w:r>
    </w:p>
    <w:p>
      <w:r>
        <w:t>L'appelante reproche au Tribunal d'avoir considéré que l'intimé n'était pas en mesure de contribuer à l'entretien de C______, notamment d'avoir retenu qu'aucun revenu hypothétique ne pouvait lui être imputé.</w:t>
      </w:r>
    </w:p>
    <w:p>
      <w:r>
        <w:t>6.1.1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6.1.2 Dans un arrêt récent, le Tribunal fédéral a arrêté, pour toute la Suisse, une méthode uniforme de fixation de l'entretien, soit la méthode du minimum vital avec répartition de l'excédent (dite en deux étapes) (ATF 147 III 265, partiellement traduit in SJ 2021 I 316).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Les ressources sont ensuite réparties entre les membres de la famille concernés de manière à couvrir le minimum vital du droit des poursuites (93 LP). Lorsque les moyens financiers le permettent, l'entretien convenable doit être étendu au minimum vital du droit de la famille. S'il reste un solde après couverture du minimum vital de droit de la famille des parents et enfants mineurs, il sera alloué à l'entretien de l'enfant majeur. Si, après cela, il subsiste encore un excédent, il sera réparti en équité entre les ayants droits (soit les parents et les enfants mineurs) (ATF 147 III 265 consid. 7.2 et 7.3).</w:t>
      </w:r>
    </w:p>
    <w:p>
      <w:r>
        <w:t>6.1.3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w:t>
      </w:r>
    </w:p>
    <w:p>
      <w:r>
        <w:t>- 20/27 -</w:t>
      </w:r>
    </w:p>
    <w:p>
      <w:r>
        <w:t>C/10990/2017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5A_484/2020 du 16 février 2021 consid. 5.1; 5A_254/2019 du 18 juillet 2019 consid. 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5A_484/2020 du 16 février 2021 consid. 5.1 et la jurisprudence citée).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citée; arrêt du Tribunal fédéral 5A_484/2020 du 16 février 2021 consid. 5.1). Selon la jurisprudence, on est en droit d'attendre du parent se consacrant à la prise en charge des enfants qu'ils recommence à travailler, en principe, à 50% dès l'entrée du plus jeune enfant à l'école obligatoire, à 80% à partir du moment où celui-ci début le degré secondaire, et à 100% dès la fin de sa seizième année (ATF 144 III 481 consid. 4.7.6).</w:t>
      </w:r>
    </w:p>
    <w:p>
      <w:r>
        <w:t>6.1.4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Lorsque les moyens financiers le permettent, l'entretien convenable doit être étendu au minimum vital du droit de la famille et il peut être tenu compte des impôts ou des primes d'assurance-maladie complémentaires. L'éventuel excédent est ensuite réparti en fonction de la situation concrète, en tenant compte de toutes les</w:t>
      </w:r>
    </w:p>
    <w:p>
      <w:r>
        <w:t>- 21/27 -</w:t>
      </w:r>
    </w:p>
    <w:p>
      <w:r>
        <w:t>C/10990/2017 circonstances entourant la prise en charge de l'enfant. En tous les cas, il ne doit pas être tenu compte des frais de voyages ou de loisirs, lesquels doivent, cas échéant, être financés au moyen de l'excédent (147 III 265 consid. 7.1).</w:t>
      </w:r>
    </w:p>
    <w:p>
      <w:r>
        <w:t>Seules les charges effectives, dont le débirentier ou le crédirentier s'acquitte réellement doivent être prises en compte (ATF 140 III 337 consid. 4.2.3, arrêt du Tribunal fédéral 5A_405/2019 du 24 février 2020 consid. 5.2 et les références).</w:t>
      </w:r>
    </w:p>
    <w:p>
      <w:r>
        <w:t>6.1.5 Dans le cas de l'instauration d'une garde exclusive, le père ou la mère qui n'a pas la garde doit, en principe, assumer la totalité de l'entretien pécuniaire, sauf lorsque le parent exerçant la garde dispose de capacités financièrement manifestement plus importantes que l'autre parent (ATF 147 III 265 consid. 5.5; arrêt du Tribunal fédéral 5A_549/2019 du 18 mars 2021 consid. 3.4). Le minimum vital du droit des poursuites du parent débirentier doit dans tous les cas être préservé (ATF 147 III 265 consid. 7.4). 6.1.6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(ATF 142 III 193 consid. 5.3; arrêt du Tribunal fédéral 5A_952/2019 du 2 décembre 2020 consid. 9.1.1). 6.2.1 En l'espèce, compte tenu de la situation financière modeste de la famille, les besoins de ses membres doivent être arrêtés selon le minimum vital du droit des poursuites. Par conséquent, il y a lieu d'écarter des charges de l'enfant, outre les frais de loisirs (piano, théâtre), la prime relative à son assurance-maladie complémentaire. L'entretien convenable de C______ s'élève ainsi à 803 fr. 05, arrêté à 800 fr., comprenant la participation au loyer (346 fr. 50, soit 15% de 2'310 fr.), les frais de restaurant scolaire (67 fr. 50 fr. = 81 fr. x 10 / 12), la prime d'assurance-maladie de base, subside cantonal déduit (12 fr. 20 = 113 fr. 20 – 101 fr.), les frais médicaux non-couverts (31 fr. 85) les frais de transport (45 fr.) et l'entretien de base selon les normes OP (600 fr.), sous déduction des allocations familiales (300 fr.). 6.2.2 Avec ses deux emplois à temps partiel (50% et 10%), l'intimé réalise actuellement un salaire cumulé de 2'815 fr. (1'765 fr. nets + 1'170 fr. bruts, soit environ 1'050 fr. nets), ce qui est à peine suffisant pour couvrir ses propres charges selon le minimum du droit des poursuites (cf. ci-après).</w:t>
      </w:r>
    </w:p>
    <w:p>
      <w:r>
        <w:t>- 22/27 -</w:t>
      </w:r>
    </w:p>
    <w:p>
      <w:r>
        <w:t>C/10990/2017 L'intimé n'a pas rendu vraisemblable avoir entrepris les efforts que l'on pouvait attendre de lui pour trouver un travail à plein temps. Il fait valoir avoir procédé à des recherches d'emploi sans succès. Il n'a toutefois produit ni les offres de service qu'il a envoyées, ni les éventuelles réponses reçues, étant précisé que la rubrique "justificatifs" des formulaires de recherches d'emploi qu'il a produits sont systématiquement vierges de toute indication, de sorte que ces documents ne suffisent pas à démontrer que ces recherches auraient réellement été entreprises. L'intimé a travaillé pendant plusieurs années en qualité de ______ et il dispose d'un diplôme de ______. En outre, il utilise le français pour échanger des messages avec l'appelante et le compagnon de celle-ci et il a également admis suivre des cours de français. Par conséquent, son niveau de français apparaît suffisant pour recevoir de son employeur des ordres élémentaires. L'intimé fait valoir qu'il a été opéré au genou il y a plusieurs années de sorte qu'il ne serait pas en mesure de porter de lourdes charges. Outre qu'il ne présente à cet égard pas de certificat médical en attestant, l'intimé ne devrait pas être amené à porter de telles charges en qualité de ______ ou de ______. Par conséquent, les compétences de l'intimé lui permettent par exemple de développer une activité dans le [domaine] ______. Depuis le 1er janvier 2022, le salaire minimum dans le canton de Genève a été fixé à 23 fr. 27/heure (art. 1 ArSML-2022, RS J 1 05.03), ce qui représente un salaire mensuel brut de 4'033 fr. (23 fr. 27 x 40h x 52 semaines / 12 mois) ou, compte tenu de déductions sociales de l'ordre de 10 à 15%, de 3'550 fr. nets par mois. Par ailleurs, selon le calculateur statistique de salaires 2018 Salarium (https://www.gate.bfs.admin.ch/salarium/public/index.html#/start), le salaire brut mensuel médian pour une activité de 40h par semaine de type ______, sans fonction de cadre et sans formation complète, dans la branche "______", s'élevait, pour un homme de 46 ans, titulaire d'un permis B, à 4'500 fr. bruts. Compte tenu de déductions sociales de l'ordre de 10 à 15%, le revenu mensuel net peut être estimé à 3'900 fr. Puisque l'intimé ne travaille actuellement pas dans ce domaine, il sera retenu qu'il sera en mesure d'occuper un tel emploi, lui permettant de réaliser un salaire mensuel net de 3'900 fr., dès le 1er juillet 2022. Les charges de l'intimé s'élèvent à 2'838 fr. 85 comprenant le loyer (1'250 fr.), la prime d'assurance-maladie de base, subside cantonal déduit (282 fr. 55 = 482 fr. 55 – 200 fr.), les frais médicaux non remboursés (36 fr. 30), les frais de transport, l'intimé ne pouvant plus bénéficier de son scooter professionnel en changeant d'employeur (70 fr.), et l'entretien de base selon les normes OP (1'200 fr.). En revanche, comme pour l'enfant, il ne sera pas tenu compte de la prime d'assurance-maladie complémentaire. Dès lors, l'intimé bénéficiera d'un solde mensuel qui ne sera pas inférieur à 1'061 fr. 15 (3'900 fr. – 2'838 fr. 85). 6.2.3 Dès lors que l'appelante prodigue quotidiennement les soins à C______ qui vit auprès d'elle alors que l'intimé n'exerce qu'un droit de visite, il se justifie que</w:t>
      </w:r>
    </w:p>
    <w:p>
      <w:r>
        <w:t>- 23/27 -</w:t>
      </w:r>
    </w:p>
    <w:p>
      <w:r>
        <w:t>C/10990/2017 ce dernier contribue financièrement à l'intégralité des frais de sa fille. En effet, la situation financière de l'appelante n'est pas meilleure que celle de l'intimé. Ce dernier dispose d'un solde mensuel de plus de 1'000 fr. Même en travaillant à 50%, compte tenu du fait que l'on ne peut exiger d'elle qu'elle augmente son taux d'activité puisqu'elle est la mère d'un deuxième enfant en bas âge, l'appelante ne serait pas en mesure de réaliser un salaire supérieur à 3'000 fr. nets alors que ses charges sont de 2'187 fr. 65, comprenant sa part du loyer (899 fr. 10), la prime d'assurance-maladie de base (324 fr. 55), les frais médicaux non couverts (43 fr.), les frais de transport (70 fr.) et l'entretien de base selon les normes OP (850 fr.). Elle disposerait donc d'un solde inférieur à l'intimé, tout en devant participer aux frais de son deuxième enfant. L'intimé sera ainsi condamné à verser à l'appelante, par mois et d'avance, allocations familiales non comprises, 800 fr. à titre de contribution à l'entretien de C______ dès le 1er juillet 2022 et jusqu'à la majorité de l'enfant, voire au-delà en cas de formation professionnelle ou d'études sérieuses et suivies. Par conséquent, les chiffres 10 et 11 du dispositif du jugement attaqué seront annulés et il sera statué dans le sens de ce qui précède. L'entretien convenable de l'enfant étant entièrement couvert par la contribution d'entretien, il n'y a pas lieu de le faire figurer dans le dispositif.</w:t>
      </w:r>
    </w:p>
    <w:p>
      <w:r>
        <w:rPr>
          <w:b/>
        </w:rPr>
        <w:t>E. 7</w:t>
      </w:r>
    </w:p>
    <w:p>
      <w:r>
        <w:t>L'appelante reproche enfin au premier juge de s'être écarté du principe du partage par moitié des avoirs de prévoyance professionnelle accumulés par les parties durant le mariage.</w:t>
      </w:r>
    </w:p>
    <w:p>
      <w:r>
        <w:rPr>
          <w:b/>
        </w:rPr>
        <w:t>E. 7.1</w:t>
      </w:r>
    </w:p>
    <w:p>
      <w:r>
        <w:t>L'art. 122 CC dispose que les prétentions de prévoyance professionnelle acquises durant le mariage et jusqu'à l'introduction de la procédure de divorce sont partagées entre les époux. A teneur de l'art. 123 al. 1 CC, les prestations de sortie acquises, y compris les avoirs de libre passage et les versements anticipés pour la propriété du logement, sont partagées par moitié. Selon l'art. 124b al. 2 CC, le juge attribue moins de la moitié de la prestation de sortie au conjoint créancier ou n'en attribue aucune pour de justes motifs. Tel est en particulier le cas quand le partage par moitié s'avère inéquitable en raison de la liquidation du régime matrimonial ou de la situation économique des époux après le divorce (ch. 1) ou des besoins de prévoyance de chacun des époux, compte tenu notamment de leur différence d'âge (ch. 2). Comme le législateur l'a expressément souligné à l'art. 124b al. 2 ch. 2 CC, il peut être justifié de déroger au principe du partage par moitié lorsqu'il existe une grande différence d'âge entre les époux, par exemple vingt ans ou plus, afin de tenir compte de la situation du conjoint qui, du fait d'un âge plus avancé et de la progressivité des cotisations, a accumulé des prétentions de prévoyance beaucoup plus importantes durant le mariage (arrêts du Tribunal fédéral 5A_729/2020 du</w:t>
      </w:r>
    </w:p>
    <w:p>
      <w:r>
        <w:t>- 24/27 -</w:t>
      </w:r>
    </w:p>
    <w:p>
      <w:r>
        <w:t>C/10990/2017 4 février 2021 consid. 8.1 et 5A_153/2019 du 3 septembre 2019 consid. 6.3.2 résumés in DroitMatrimonial.ch, ainsi que les références citées).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 du Tribunal fédéral 5A_277/2021 du 30 novembre 2021 consid. 7.1.1 et la jurisprudence citée). Le partage est donc inéquitable lorsque l'un des époux subit des désavantages flagrants par rapport à l'autre conjoint (ATF 145 III 56 consid. 5.4; arrêt du Tribunal fédéral 5A_277/2021 précité ibid.). L'art. 124b CC est une disposition d'exception, qui ne doit pas vider de sa substance le principe du partage par moitié de la prévoyance professionnelle (arrêt du Tribunal fédéral 5A_277/2021 du 30 novembre 2021 consid. 7.1.2 et la jurisprudence citée).</w:t>
      </w:r>
    </w:p>
    <w:p>
      <w:r>
        <w:rPr>
          <w:b/>
        </w:rPr>
        <w:t>E. 7.2</w:t>
      </w:r>
    </w:p>
    <w:p>
      <w:r>
        <w:t>En l'espèce, l'appelante ayant commencé à cotiser à la prévoyance professionnelle le 1er février 2018, soit postérieurement à l'introduction de la présente procédure, intervenue le 12 mai 2017, la somme de 108 fr. 85 qu'elle a accumulée n'est pas soumise au partage. La caisse de prévoyance professionnelle de l'intimé a déclaré ignorer si une partie des avoirs de celui-ci avait été accumulée avant le mariage. Il s'avère que l'intimé a commencé de travailler le 1er octobre 2014, soit après le mariage qui a été célébré au mois de juin 2014. La totalité de ses avoirs de 3'365 fr. a donc été constituée durant le mariage. Contrairement à ce qu'a retenu le Tribunal, la différence d'âge entre les parties, soit quinze ans, n'est pas suffisante au sens de la jurisprudence pour justifier de déroger au principe du partage par moitié. En outre, l'intimé, actuellement âgé de 46 ans, dispose de plusieurs années devant lui pour reconstituer la somme de 1'682 fr. 50 (3'365 fr. / 2) qu'il doit verser à l'appelante au titre du partage par moitié des avoirs de prévoyance professionnelle. Le seul fait que les montants de ces avoirs sont peu importants ne suffit pas pour déroger au partage, auquel les parties ont conclu de manière concordante dans leurs dernières conclusions devant le Tribunal. Par conséquent, le chiffre 20 du dispositif du jugement querellé sera annulé et il sera statué à nouveau dans le sens que les avoirs de prévoyance professionnelle accumulés par les parties durant le mariage seront partagés par moitié entre elles.</w:t>
      </w:r>
    </w:p>
    <w:p>
      <w:r>
        <w:rPr>
          <w:b/>
        </w:rPr>
        <w:t>E. 8.1</w:t>
      </w:r>
    </w:p>
    <w:p>
      <w:r>
        <w:t>Si l'instance d'appel statue à nouveau, elle se prononce sur les frais de la première instance (art. 318 al. 3 CPC).</w:t>
      </w:r>
    </w:p>
    <w:p>
      <w:r>
        <w:t>- 25/27 -</w:t>
      </w:r>
    </w:p>
    <w:p>
      <w:r>
        <w:t>C/10990/2017 En l'espèce, ni la quotité ni la répartition des frais et dépens de première instance n'ont été valablement remises en cause en appel et ceux-ci ont été arrêtés conformément aux règles légales (art. 95, 96, 104 al. 1, 107 al. 1 let. c CPC; art. 30 RTFMC). Compte tenu de la nature familiale du litige, la modification du jugement attaqué ne justifie pas que la répartition des frais soit revue. Par conséquent, le jugement entrepris sera confirmé sur ce point.</w:t>
      </w:r>
    </w:p>
    <w:p>
      <w:r>
        <w:rPr>
          <w:b/>
        </w:rPr>
        <w:t>E. 8.2</w:t>
      </w:r>
    </w:p>
    <w:p>
      <w:r>
        <w:t>Les frais judiciaires de la procédure d'appel sont fixés à 1'250 fr. (art. 30 et 35 RTFMC). Compte tenu de la nature familiale du litige, ils seront répartis à parts égales entre les parties, soit 625 fr. à charge de chacune (art. 107 al. 1 let. c CPC). Par conséquent, l'intimé sera condamné à verser 625 fr. à l'Etat de Genève, soit pour lui les Services financiers du Pouvoir judiciaire. L'appelante plaidant au bénéfice de l'assistance juridique, sa part des frais sera provisoirement supportée par l'Etat de Genève (art. 122 al. 1 let. b, 123 al. 1 CPC et 19 RAJ). Compte tenu de la nature familiale du litige, chaque partie supportera ses propres dépens d'appel (art. 107 al. 1 let. c CPC). * * * * *</w:t>
      </w:r>
    </w:p>
    <w:p>
      <w:r>
        <w:t>- 26/27 -</w:t>
      </w:r>
    </w:p>
    <w:p>
      <w:r>
        <w:t>C/10990/2017 PAR CES MOTIFS, La Chambre civile : A la forme : Déclare recevable l'appel interjeté le 7 septembre 2021 par A______ contre les chiffres 2, 5, 6, 10, 11 et 20 du dispositif du jugement JTPI/8826/2021 rendu le 29 juin 2021 par le Tribunal de première instance dans la cause C/10990/2017. Au fond : Annule les chiffres 5, 10, 11 et 20 du dispositif du jugement attaqué et, statuant à nouveau sur ces points : Renvoie la cause au Tribunal de première instance pour instruction complémentaire au sens des considérants et nouvelle décision sur les modalités du droit de visite de B______ sur l'enfant C______. Condamne B______ à verser à A______, par mois et d'avance, allocations familiales non comprises, la somme de 800 fr. à titre de contribution à l'entretien de C______, dès le 1er juillet 2022 et jusqu'à la majorité de l'enfant, voire au-delà en cas de formation professionnelle ou d'études sérieuses et suivies. Ordonne le partage par moitié des avoirs de la prévoyance professionnelle accumulés par les parties durant le mariage. Ordonne en conséquence à la caisse de prévoyance de B______, soit Q______, ______ [adresse], de prélever la somme de 1'682 fr. 50 du compte de libre passage de B______ (n° AVS 1______, police n° 2______, contrat n° 3______, [entreprise individuelle de] N______) et de la transférer sur le compte de libre passage de A______ (n° d'assurée NSS 4______) auprès de [la caisse de prévoyance] S______, ______ [adresse]. Confirme le jugement querellé pour le surplus. Déboute les parties de toutes autres conclusions d'appel. Sur les frais : Arrête les frais judiciaires d'appel à 1'250 fr. et les met à la charge des parties pour moitié chacune. Condamne B______ à verser 625 fr. à l'Etat de Genève, soit pour lui les Services financiers du Pouvoir judiciaire à titre de frais judiciaires d'appel.</w:t>
      </w:r>
    </w:p>
    <w:p>
      <w:r>
        <w:t>- 27/27 -</w:t>
      </w:r>
    </w:p>
    <w:p>
      <w:r>
        <w:t>C/10990/2017 Dit que la somme de 625 fr. mise à la charge de A______ est provisoirement supportée par l'Etat de Genève, sous réserve d'une décision de l'Assistance juridique. Dit que chaque partie supporte ses propres dépens d'appel. Siégeant : Madame Nathalie RAPP, présidente;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