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ACJC/31/2019 vom 9. November 2018</w:t>
      </w:r>
    </w:p>
    <w:p>
      <w:r>
        <w:t>GE Cour de justice, 2018-11-09, FR</w:t>
      </w:r>
    </w:p>
    <w:p>
      <w:r>
        <w:rPr>
          <w:b/>
        </w:rPr>
        <w:t xml:space="preserve">Quelle: </w:t>
      </w:r>
      <w:r>
        <w:t>https://mcp.opencaselaw.ch/entscheid/ge_gerichte_ACJC_31_2019</w:t>
      </w:r>
    </w:p>
    <w:p>
      <w:r>
        <w:t>FR: GE_GERICHTE ACJC/31/2019 du 9 novembre 2018</w:t>
      </w:r>
    </w:p>
    <w:p>
      <w:r>
        <w:t>IT: GE_GERICHTE ACJC/31/2019 del 9 novembre 2018</w:t>
      </w:r>
    </w:p>
    <w:p>
      <w:pPr>
        <w:pStyle w:val="Heading2"/>
      </w:pPr>
      <w:r>
        <w:t>Volltext</w:t>
      </w:r>
    </w:p>
    <w:p>
      <w:r>
        <w:t>Le présent arrêt est communiqué aux parties par plis recommandés du 15 janvier 2019.</w:t>
      </w:r>
    </w:p>
    <w:p>
      <w:r>
        <w:t>REPUBLIQUE ET</w:t>
      </w:r>
    </w:p>
    <w:p>
      <w:r>
        <w:t>CANTON DE GENEVE POUVOIR JUDICIAIRE C/26840/2017 ACJC/31/2019 ARRÊT DE LA COUR DE JUSTICE Chambre civile DU LUNDI 14 JANVIER 2019</w:t>
      </w:r>
    </w:p>
    <w:p>
      <w:r>
        <w:t>Entre Madame A______, domiciliée chemin ______ [GE], appelante d'une ordonnance rendue par la 1ère Chambre du Tribunal de première instance de ce canton le 9 novembre 2018, comparant par Me Clio Herrmann, avocate, rue de Hesse 8-10, case postale 5715, 1211 Genève 11, en l'étude de laquelle elle fait élection de domicile, et Monsieur B______, domicilié chemin ______ [GE], intimé, comparant par Me Bernard Nuzzo, avocat, rue Leschot 2, 1205 Genève, en l'étude duquel il fait élection de domicile.</w:t>
      </w:r>
    </w:p>
    <w:p>
      <w:r>
        <w:t>- 2/5 -</w:t>
      </w:r>
    </w:p>
    <w:p>
      <w:r>
        <w:t>C/26840/2017 Attendu, EN FAIT, que par ordonnance du 9 novembre 2018, le Tribunal de première instance, statuant sur mesures provisionnelles dans le cadre de la procédure de divorce des parties, a condamné A______ à payer à B______, par mois et d'avance à compter du 1er décembre 2017, 2'355 fr. à titre de contribution à son entretien, jusqu'à droit jugé sur le fond (ch. 1 du dispositif) et statué sur les frais (ch. 2 et 3); Que le montant de 2'355 fr. correspond au disponible de A______ au vu de ses revenus (6'693 fr.) et charges (4'338 fr.) alors que B______ ne dispose d'aucun revenu et supporte des charges de 3'123 fr.; Que cette ordonnance a été communiquée pour notification aux parties le 9 novembre 2018, puis à nouveau le 11 décembre 2018, après rectification du montant de la contribution d'entretien, initialement fixé à 2'335 fr.; Que par acte expédié à la Cour de justice le 22 novembre 2018, A______ a formé appel contre cette ordonnance; qu'elle a conclu à son annulation, au déboutement de B______ de toutes ses conclusions et à ce qu'il soit dit qu'elle ne lui devait aucune contribution d'entretien; Que par courrier expédié le 28 novembre 2018 à la Cour, A______ a sollicité l'octroi de l'effet suspensif à son appel; qu'elle a invoqué qu'elle devait verser une contribution d'entretien à compter du 1er décembre 2017, ce qui représentait une somme importante au vu de ses revenus et charges et compte tenu du fait qu'elle n'avait pas de fortune; que B______ étant sans revenu et sans domicile fixe, il lui serait impossible de récupérer les montants qu'elle aurait indument versés; que subsidiairement, si l'effet suspensif devait être refusé, elle sollicitait la condamnation de B______ au paiement de sûretés; Qu'invité à se déterminer sur la requête d'effet suspensif, B______ a conclu à son irrecevabilité, subsidiairement à son rejet; qu'il soutient que la requête d'effet suspensif est tardive car elle aurait dû être déposée dans le délai légal d'appel, avec le mémoire d'appel; que par ailleurs A______ ne démontrait pas qu'elle ne disposerait pas d'une fortune; que le paiement de l'arriéré de contributions d'entretien lui permettrait de trouver un appartement, d'éponger ses dettes et de bénéficier des soins nécessaires; Qu'à la suite de la recommunication de l'ordonnance du 9 novembre 2018 après rectification, A______ a déposé un nouvel appel avec demande d'effet suspensif; Que B______ a persisté dans ses conclusions sur effet suspensif dans ses déterminations du 8 janvier 2019; Considérant, EN DROIT, que la Cour est saisie d'un appel au sens de l'art. 308 CPC; Que le jugement querellé portant sur des mesures provisionnelles, l'appel n'a pas d'effet suspensif ex lege (art. 315 al. 4 let. b CPC);</w:t>
      </w:r>
    </w:p>
    <w:p>
      <w:r>
        <w:t>- 3/5 -</w:t>
      </w:r>
    </w:p>
    <w:p>
      <w:r>
        <w:t>C/26840/2017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dépôt de la requête d'effet suspensif après l'échéance du délai d'appel n'est pas de nature à entraîner son irrecevabilité dans la mesure où il s'agit d'une requête de mesures provisionnelles, qui peut être formée en tout temps; Que le paiement de l'arriéré représente un montant non négligeable au vu de la situation financière de l'appelante; que lesdits arriérés sont destinés à couvrir les besoins de l'appelant pour une période échue; que dans l'hypothèse où l'appelante obtenait gain de cause, le recouvrement de cet arriéré pourrait s'avérer difficile compte tenu de la situation personnelle et financière de l'intimé; que la requête d'effet suspensif sera dès lors admise en tant qu'elle porte sur le paiement des arriérés de contributions d'entretien; Que pour les contributions d'entretien courantes, il y a lieu de tenir compte du fait que l'intimé est, en l'état, sans revenus et donc sans possibilité d'assurer ses besoins essentiels; que l'appelante ne soutient pas que le paiement de la contribution d'entretien entamerait son minimum vital; qu'il ne peut être considéré, prima facie, que l'appel est d'emblée manifestement bien fondé; que la requête d'effet suspensif sera dès lors rejetée en tant qu'elle porte sur le paiement des contributions d'entretien courantes;</w:t>
      </w:r>
    </w:p>
    <w:p>
      <w:r>
        <w:t>- 4/5 -</w:t>
      </w:r>
    </w:p>
    <w:p>
      <w:r>
        <w:t>C/26840/2017 Qu'il ne saurait être imposé à l'intimé de verser des sûretés dans la mesure où les contributions d'entretien litigieuses sont destinées à lui permettre d'assurer le paiement de ses charges incompressibles telles que calculées par le Tribunal; Qu'en définitive, l'effet suspensif sera donc accordé concernant le paiement des contributions d'entretien pour la période du 1er décembre 2017 au 9 novembre 2018, date du jugement attaqué; qu'elle sera rejetée pour le surplus; Qu'il sera statué sur les frais et dépens liés à la présente décision avec la décision au fond (art. 104 al. 3 CPC). * * * * *</w:t>
      </w:r>
    </w:p>
    <w:p>
      <w:r>
        <w:t>- 5/5 -</w:t>
      </w:r>
    </w:p>
    <w:p>
      <w:r>
        <w:t>C/26840/2017 PAR CES MOTIFS, La Chambre civile : Statuant sur requête de suspension du caractère exécutoire de l'ordonnance entreprise : Admet la requête formée par A______ tendant à suspendre le caractère exécutoire du ch. 1 du dispositif de l'ordonnance OTPI/677/2018 rendue le 9 novembre 2018 par le Tribunal de première instance dans la cause C/26840/2017-1 en tant qu'il porte sur la période du 1er décembre 2017 au 9 novembre 2018. La rejette pour le surplus. Dit qu'il sera statué sur les frais liés à la présente décision dans l'arrêt rendu sur le fond. Siégeant : Monsieur Laurent RIEBEN, président; Madame Sophie MARTINEZ, greffière. 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