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ACJC/31/2014 vom 13. Januar 2014</w:t>
      </w:r>
    </w:p>
    <w:p>
      <w:r>
        <w:t>GE Cour de justice, 2014-01-13, FR</w:t>
      </w:r>
    </w:p>
    <w:p>
      <w:r>
        <w:rPr>
          <w:b/>
        </w:rPr>
        <w:t xml:space="preserve">Quelle: </w:t>
      </w:r>
      <w:r>
        <w:t>https://mcp.opencaselaw.ch/entscheid/ge_gerichte_ACJC_31_2014</w:t>
      </w:r>
    </w:p>
    <w:p>
      <w:r>
        <w:t>FR: GE_GERICHTE ACJC/31/2014 du 13 janvier 2014</w:t>
      </w:r>
    </w:p>
    <w:p>
      <w:r>
        <w:t>IT: GE_GERICHTE ACJC/31/2014 del 13 gennaio 2014</w:t>
      </w:r>
    </w:p>
    <w:p>
      <w:pPr>
        <w:pStyle w:val="Heading2"/>
      </w:pPr>
      <w:r>
        <w:t>Regeste</w:t>
      </w:r>
    </w:p>
    <w:p>
      <w:r>
        <w:t>Résumé: PRÉJUDICE DIFFICILEMENT RÉPARABLE OUVRANT LE DROIT AU RECOURS CONTRE LES "AUTRES DÉCISIONS" La notion de «préjudice difficilement réparable» de l'article 319 let. b CPC est plus large que celle de préjudice irréparable au sens de l'article 93 al. 1 let. a LTF relatif au recours dirigé contre des décisions préjudicielles ou incidentes, puisqu'elle ne vise pas seulement un inconvénient de nature juridique, mais toute incidence dommageables, qui peuvent être de nature financière ou temporelle, pourvu qu'elles soient difficilement réparables. L'instance supérieure doit toutefois se montrer exigeante, voire restrictive, avant d'admettre l'accomplissement de cette dernière condition, sous peine d'ouvrir le recours à toute décision ou ordonnance d'instruction, ce que le législateur a clairement exclu.</w:t>
      </w:r>
    </w:p>
    <w:p>
      <w:pPr>
        <w:pStyle w:val="Heading2"/>
      </w:pPr>
      <w:r>
        <w:t>Volltext</w:t>
      </w:r>
    </w:p>
    <w:p>
      <w:r>
        <w:t>Résumé: PRÉJUDICE DIFFICILEMENT RÉPARABLE OUVRANT LE DROIT AU RECOURS CONTRE LES "AUTRES DÉCISIONS" La notion de «préjudice difficilement réparable» de l'article 319 let. b CPC est plus large que celle de préjudice irréparable au sens de l'article 93 al. 1 let. a LTF relatif au recours dirigé contre des décisions préjudicielles ou incidentes, puisqu'elle ne vise pas seulement un inconvénient de nature juridique, mais toute incidence dommageables, qui peuvent être de nature financière ou temporelle, pourvu qu'elles soient difficilement réparables. L'instance supérieure doit toutefois se montrer exigeante, voire restrictive, avant d'admettre l'accomplissement de cette dernière condition, sous peine d'ouvrir le recours à toute décision ou ordonnance d'instruction, ce que le législateur a clairement exclu.</w:t>
      </w:r>
    </w:p>
    <w:p>
      <w:r>
        <w:t>Descripteurs: Descripteurs: BAIL À LOYER; RECOURS(CPC); PROCÉDURE; DOMMAGE</w:t>
      </w:r>
    </w:p>
    <w:p>
      <w:r>
        <w:t>Normes: Normes: CPC.319.let.b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