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ACJC/319/2024 vom 23. Februar 2024</w:t>
      </w:r>
    </w:p>
    <w:p>
      <w:r>
        <w:t>GE Cour de justice, 2024-02-23, FR</w:t>
      </w:r>
    </w:p>
    <w:p>
      <w:r>
        <w:rPr>
          <w:b/>
        </w:rPr>
        <w:t xml:space="preserve">Quelle: </w:t>
      </w:r>
      <w:r>
        <w:t>https://mcp.opencaselaw.ch/entscheid/ge_gerichte_ACJC_319_2024</w:t>
      </w:r>
    </w:p>
    <w:p>
      <w:r>
        <w:t>FR: GE_GERICHTE ACJC/319/2024 du 23 février 2024</w:t>
      </w:r>
    </w:p>
    <w:p>
      <w:r>
        <w:t>IT: GE_GERICHTE ACJC/319/2024 del 23 febbraio 2024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11 mars 2024.</w:t>
      </w:r>
    </w:p>
    <w:p>
      <w:r>
        <w:t>République et canton de Genève POUVOIR JUDICIAIRE Cour de justice civile Chambre civile</w:t>
      </w:r>
    </w:p>
    <w:p>
      <w:r>
        <w:t>Recourante : Intimée : A______ SARL c/o B______ ______ ______</w:t>
      </w:r>
    </w:p>
    <w:p>
      <w:r>
        <w:t>C______ [caisse de pension] ______ ______</w:t>
      </w:r>
    </w:p>
    <w:p>
      <w:r>
        <w:t>C/784/2024 ACJC/319/2024 DU VENDREDI 8 MARS 2024 Vu le jugement JTPI/2812/2024 du 26 février 2024 prononçant la faillite de A______ SARL; Vu le recours contre ledit jugement formé le 8 mars 2024 par A______ SARL, dans le délai et la forme prescrits par l'art. 321 al. 1 et 2 CPC; Vu le paiement de la dette, intérêts et frais compris; Attendu qu'un avertissement a déjà été donné à A______ SARL par arrêt du 23 février 2024 (ACJC/232/2024) communiqué pour notification le 5 mars 2024, soit postérieurement au prononcé du jugement dont est recours; Attendu que l'attention de la partie recourante est encore une fois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JTPI/2812/2024 rendu par le Tribunal de première instance le 26 février 2024 dans la cause C/784/2024-19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