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ACJC/318/2022 vom 8. Dezember 2021</w:t>
      </w:r>
    </w:p>
    <w:p>
      <w:r>
        <w:t>GE Cour de justice, 2021-12-08, FR</w:t>
      </w:r>
    </w:p>
    <w:p>
      <w:r>
        <w:rPr>
          <w:b/>
        </w:rPr>
        <w:t xml:space="preserve">Quelle: </w:t>
      </w:r>
      <w:r>
        <w:t>https://mcp.opencaselaw.ch/entscheid/ge_gerichte_ACJC_318_2022</w:t>
      </w:r>
    </w:p>
    <w:p>
      <w:r>
        <w:t>FR: GE_GERICHTE ACJC/318/2022 du 8 décembre 2021</w:t>
      </w:r>
    </w:p>
    <w:p>
      <w:r>
        <w:t>IT: GE_GERICHTE ACJC/318/2022 del 8 dicembre 2021</w:t>
      </w:r>
    </w:p>
    <w:p>
      <w:pPr>
        <w:pStyle w:val="Heading2"/>
      </w:pPr>
      <w:r>
        <w:t>Erwägungen</w:t>
      </w:r>
    </w:p>
    <w:p>
      <w:r>
        <w:rPr>
          <w:b/>
        </w:rPr>
        <w:t>E. 1</w:t>
      </w:r>
    </w:p>
    <w:p>
      <w:r>
        <w:t>L'appel formé, contre une décision du Conseil d'Etat susceptible d'appel auprès de la Cour civile (art. 234 al. 2 LaCC), a été déposé selon les forme et délai légaux, de sorte qu'il est recevable, étant précisé que la procédure sommaire est applicable (art 248 let. c, 308 et 314 CPC).</w:t>
      </w:r>
    </w:p>
    <w:p>
      <w:r>
        <w:rPr>
          <w:b/>
        </w:rPr>
        <w:t>E. 2</w:t>
      </w:r>
    </w:p>
    <w:p>
      <w:r>
        <w:t>Le Conseil d'Etat a retenu qu'il n'y avait pas de motifs légitimes pour autoriser le changement de nom requis par l'appelante. Celle-ci n'avait pas établi que l'intérêt supérieur de B______ commandait qu'il porte le nom de sa mère au lieu de celui de son père. L'autorité parentale exclusive offrait déjà une grande latitude à la mère pour les démarches administratives et officielles concernant l'enfant. Celui- ci ne subissait pas d'inconvénient majeur en portant le nom de son père, ni ne bénéficierait d'un avantage sérieux à porter le nom de sa mère. Le nom du père était le point d'ancrage subsistant dans la relation père-fils et il ne se justifiait pas d'y renoncer en l'état. Les motifs relevés par le SEASP à l'appui de son rapport étaient convaincants et le Conseil d'Etat s'y ralliait.</w:t>
      </w:r>
    </w:p>
    <w:p>
      <w:r>
        <w:t>L'appelante fait valoir que l'intérêt supérieur de l'enfant commande que celui-ci porte son nom. B______ avait toujours vécu avec elle et n'avait vu que rarement son père, lequel avait renoncé à exercer un droit de visite. La plupart des enfants portaient le même nom que celui de l'un des titulaires de l'autorité parentale. Le fait que B______ ne portait pas le même nom que sa mère constituait un risque que "les douaniers (…) la fassent s'arrêter, que les hôtels rejettent sa réservation ou que l'enfant ne soit questionné sur son patronyme". Le père était déjà absent de l'entourage de l'enfant et il convenait d'éviter que "ce dernier soit en plus confronté à des questionnements mettant en doute la nature du lien l'unissant à sa mère".</w:t>
      </w:r>
    </w:p>
    <w:p>
      <w:r>
        <w:rPr>
          <w:b/>
        </w:rPr>
        <w:t>E. 2.1</w:t>
      </w:r>
    </w:p>
    <w:p>
      <w:r>
        <w:t>Selon l'art. 30 al. 1 CC, le gouvernement du canton de domicile peut, s’il existe des motifs légitimes, autoriser une personne à changer de nom. En principe, le nom d'une personne est immuable. Le point de savoir s'il existe, dans un cas individuel, des "motifs légitimes" en vue du changement de nom relève du pouvoir d'appréciation, que l'autorité compétente doit exercer selon les règles du droit et de l'équité. Jusqu'à l'entrée en vigueur de l'art. 30 al. 1 CC dans sa nouvelle teneur le 1er janvier 2013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La jurisprudence était particulièrement restrictive à cet égard, ne tenant compte que des motifs objectifs invoqués par le requérant. Selon la jurisprudence, la notion de "motifs légitimes" doit être appréciée de manière plus souple que celle de "justes motifs". La requête doit cependant toujours faire état</w:t>
      </w:r>
    </w:p>
    <w:p>
      <w:r>
        <w:t>- 5/8 -</w:t>
      </w:r>
    </w:p>
    <w:p>
      <w:r>
        <w:t>C/25369/2021 de motifs particuliers, lesquels ne peuvent être illicites, abusifs ou contraires aux mœurs.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(arrêt du Tribunal fédéral 5A_336/2020 du 12 juillet 2021 consid. 4). Selon une partie de la doctrine, le fait qu'un enfant grandisse auprès du parent détenteur de l'autorité parentale qui porte un autre nom n'entraîne plus aucun préjudice, car avec la réforme du droit du nom des époux, même des enfants de parents mariés portent un nom qui diffère de celui du père ou de la mère. Il faut donc continuer à n'autoriser un changement de nom qu'avec réserve en prenant en considération l'intérêt de l'enfant (STEINAUER/FOUNTOULAKIS, Droit des personnes physiques et de la protection de l'adulte, 2014, p. 142, n. 414; GEISER, Das neue Namensrecht und die Kindes- und Erwachsenenschutzbehörde, RMA 2012, p. 372, n. 3.36). Selon d'autres auteurs, l'art. 30 al. 1 CC doit être interprété largement même dans ce contexte, en ce sens que les motifs sont considérés comme légitimes s'ils n'apparaissent pas sans importance, c'est-à-dire atteignent une certaine gravité (AEBI/MÜLLER, Das neue Familiennamensrecht - eine erste Übersicht, SJZ 108/2012 S. 456 f.; idem, in: Personen- und Familienrecht [...], Handkommentar zum Schweizer Privatrecht, 2. Aufl. 2012, N. 4 zu Art. 30-30a ZGB; DE LUZE/ DE LUIGI, Le nouveau droit du nom, AJP 2013 S. 524 Rz. 80). Selon le Tribunal fédéral, il est admissible de considérer le besoin prouvé d'une concordance du nom de l'enfant avec celui du détenteur de l'autorité parentale comme un motif légitime au sens de l'art. 30 al. 1 CC. Cela ne change rien au fait qu'il faut examiner soigneusement les circonstances du cas particulier puisque le changement de nom peut avoir pour effet une séparation plus marquée de l'autre parent et porter préjudice à l'intérêt de l'enfant (ATF 140 III 577 consid. 3.3.4, JdT 2015 II 319). Seul l'intérêt de l'enfant est déterminant pour autoriser son changement de nom (ATF 105 Ia 281). Il appartient au requérant en changement de nom d'établir l'existence des motifs dont il se prévaut (art. 8 CC; arrêt du Tribunal fédéral 5A_424/2010 du 2 novembre 2010, consid. 3.2). La requête en changement de nom d'un enfant incapable de discernement peut être formée par son représentant légal (ATF 140 III 577 consid. 3.1.1, JdT 2015 II 319).</w:t>
      </w:r>
    </w:p>
    <w:p>
      <w:r>
        <w:t>- 6/8 -</w:t>
      </w:r>
    </w:p>
    <w:p>
      <w:r>
        <w:t>C/25369/2021</w:t>
      </w:r>
    </w:p>
    <w:p>
      <w:r>
        <w:rPr>
          <w:b/>
        </w:rPr>
        <w:t>E. 2.2</w:t>
      </w:r>
    </w:p>
    <w:p>
      <w:r>
        <w:t>En l'espèce, le Conseil d'Etat a considéré à juste titre que l'appelante n'a pas établi que sa demande de changement du nom de son fils est fondée sur des motifs légitimes au sens de l'art. 30 al. 1 CC. En effet, l'appelante n'a fourni aucun élément de preuve étayant ses affirmations selon lesquelles, en raison du fait que B______ ne porte pas le même nom qu'elle, elle-même ou l'enfant risqueraient plus que d'autres de se faire arrêter par les douaniers ou qu'ils ne pourraient pas réserver des hôtels. Une telle allégation est au demeurant peu vraisemblable. A supposer, par ailleurs, que l'enfant soit "questionné sur son patronyme" comme elle l'allègue, ce qui n'est pas établi, cela ne constituerait pas un motif légitime de changer de nom. Contrairement à ce que soutient l'appelante, il n'est pas établi que le père de B______ n'a pas "le souhait d'établir des liens durables avec son enfant". E______ a au contraire déclaré au SEASP qu'il avait renoncé à faire valoir une partie de ses droits parentaux uniquement pour protéger son fils du conflit parental et non par désintérêt pour celui-ci. Il a d'ailleurs précisé qu'il gardait l'espoir d'intégrer B______ dans sa famille, lorsque celui-ci y serait disposé. L'appelante n'a pas non plus démontré que la très grande majorité des enfants porte le même nom que le titulaire de l'autorité parentale. Même à supposer que tel soit le cas, cette circonstance ne suffirait pas à elle-seule à constituer un motif légitime de changement de nom. Aucun élément du dossier ne permet en effet de retenir que B______ subi concrètement un préjudice de ce fait. Enfin, l'on ne voit pas en quoi le fait que l'enfant porte le nom de son père le confronterait "à des questionnements mettant en doute la nature du lien l'unissant à sa mère". Il résulte de ce qui précède que l'appelante n'a pas établi qu'il existait des motifs légitimes pour autoriser le changement de nom de son fils. Un tel changement risquerait au contraire d'être préjudiciable au bien de l'enfant puisque, comme l'a relevé à juste titre le SEASP, il serait susceptible d'avoir un impact négatif sur la qualité de sa relation avec son père. Il n'est dès lors pas dans l'intérêt de l'enfant de faire droit à la demande de l'appelante. A cela s'ajoute que, celle-ci pourra, si elle le souhaite, refaire une demande de changement de nom dans quelques années, lorsque B______ aura atteint l'âge de 12 ans. A ce moment-là, la situation se présentera différemment puisque l'enfant aura alors acquis la capacité de se prononcer sur cette question, de sorte que l'autorité tiendra compte du souhait qu'il exprimera sur la question de son changement de nom.</w:t>
      </w:r>
    </w:p>
    <w:p>
      <w:r>
        <w:t>- 7/8 -</w:t>
      </w:r>
    </w:p>
    <w:p>
      <w:r>
        <w:t>C/25369/2021 La décision querellée sera par conséquent confirmée.</w:t>
      </w:r>
    </w:p>
    <w:p>
      <w:r>
        <w:rPr>
          <w:b/>
        </w:rPr>
        <w:t>E. 3</w:t>
      </w:r>
    </w:p>
    <w:p>
      <w:r>
        <w:t>Les frais judiciaires, arrêtés à 500 fr. et compensés avec l'avance versée par l'appelante acquise à l'Etat de Genève (art. 111 al. 1 CPC), seront mis à charge de celle-ci, qui succombe (art. 106, 111 CPC; art. 26 et 35 RTFMC).</w:t>
      </w:r>
    </w:p>
    <w:p>
      <w:r>
        <w:t>Il n'y a pas lieu d'allouer de dépens à l'autorité intimée, qui n'a pas mandaté d'avocat et n'a pas requis de dépens. * * * * *</w:t>
      </w:r>
    </w:p>
    <w:p>
      <w:r>
        <w:t>- 8/8 -</w:t>
      </w:r>
    </w:p>
    <w:p>
      <w:r>
        <w:t>C/25369/2021 PAR CES MOTIFS, La Chambre civile : A la forme : Déclare recevable l'appel interjeté par A______ contre l'arrêté n° 1______-2021 rendu par le Conseil d'Etat de la République et canton de Genève le 8 décembre 2021. Au fond : Confirme l'arrêté précité. Déboute les parties de toutes autres conclusions. Sur les frais : Met à la charge de A______ les frais judiciaires d'appel, arrêtés à 500 fr. et compensés avec l'avance versée, acquise à l'Etat de Genève. Dit qu'il n'est pas alloué de dépens. Siégeant : Monsieur Laurent RIEBEN, président; Madame Nathalie LANDRY-BARTHE, Madame Fabienne GEISINGER-MARIETHOZ,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Cause de nature non pécuniaire (arrêt du Tribunal fédéral 5A_730/2017 du 22 janvier 2018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