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ACJC/313/2014 vom 7. November 2013</w:t>
      </w:r>
    </w:p>
    <w:p>
      <w:r>
        <w:t>GE Cour de justice, 2013-11-07, FR</w:t>
      </w:r>
    </w:p>
    <w:p>
      <w:r>
        <w:rPr>
          <w:b/>
        </w:rPr>
        <w:t xml:space="preserve">Quelle: </w:t>
      </w:r>
      <w:r>
        <w:t>https://mcp.opencaselaw.ch/entscheid/ge_gerichte_ACJC_313_2014</w:t>
      </w:r>
    </w:p>
    <w:p>
      <w:r>
        <w:t>FR: GE_GERICHTE ACJC/313/2014 du 7 novembre 2013</w:t>
      </w:r>
    </w:p>
    <w:p>
      <w:r>
        <w:t>IT: GE_GERICHTE ACJC/313/2014 del 7 novembre 2013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- 3/6 -</w:t>
      </w:r>
    </w:p>
    <w:p>
      <w:r>
        <w:t>C/12307/2013 Aux termes de l'art. 321 al. 1 et 2 CPC, le recours doit, en procédure sommaire, être introduit auprès de l'instance de recours dans les dix jours à compter de la notification de la décision motivée. Interjeté dans le délai prévu par la loi, le présent recours est recevable à cet égard.</w:t>
      </w:r>
    </w:p>
    <w:p>
      <w:r>
        <w:rPr>
          <w:b/>
        </w:rPr>
        <w:t>E. 1.2</w:t>
      </w:r>
    </w:p>
    <w:p>
      <w:r>
        <w:t>Selon l'art. 321 al. 2 CPC, le recours doit être écrit et motivé. Les exigences de motivation sont les mêmes pour le recours et l'appel (CHAIX, Introduction au recours de la nouvelle procédure fédérale, in SJ 2009 II 257, p. 265).</w:t>
      </w:r>
    </w:p>
    <w:p>
      <w:r>
        <w:rPr>
          <w:b/>
        </w:rPr>
        <w:t>E. 1.2.1</w:t>
      </w:r>
    </w:p>
    <w:p>
      <w:r>
        <w:t>Il incombe au recourant de motiver son recours, c'est-à-dire de démontrer le caractère erroné de la motivation attaquée. Pour satisfaire à cette exigence, le recourant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 défaut, le recours pourra être déclaré irrecevable, étant rappelé cependant qu'il sied d'éviter tout excès de formalisme (dans ce sens, CHAIX, op. cit., p. 264 et 265 n. 13 et 14; RETORNAZ, L'appel et le recours, in Procédure civile suisse, 2010, n. 174 p. 403). Même si contrairement à l'appel, le recours déploie avant tout un effet cassatoire, le recourant doit prendre des conclusions au fond, sous peine d'irrecevabilité du recours, de façon à permettre à l'autorité de recours de statuer à nouveau dans le cas où les conditions de l'art. 327 al. 2 CPC sont réunies (JEANDIN, in Code de procédure civile commenté, 2011, n. 4 et 5 ad art. 321 CPC).</w:t>
      </w:r>
    </w:p>
    <w:p>
      <w:r>
        <w:rPr>
          <w:b/>
        </w:rPr>
        <w:t>E. 1.2.2</w:t>
      </w:r>
    </w:p>
    <w:p>
      <w:r>
        <w:t>En l'espèce, la recourante ne critique pas la motivation du Tribunal et elle ne prend aucune conclusion au fond. Elle se borne à solliciter le renvoi de la cause au Tribunal. Cela étant, bien qu'elle n'ait pas expressément pris de conclusions relatives à l'annulation de la décision de première instance, la Cour de céans comprend que la recourante fait grief au Tribunal de ne pas avoir convoqué d'audience et sollicite la mise à néant du jugement entrepris et le prononcé de la mainlevée provisoire de l'opposition formée au commandement de payer. Le recours sera ainsi déclaré recevable.</w:t>
      </w:r>
    </w:p>
    <w:p>
      <w:r>
        <w:rPr>
          <w:b/>
        </w:rPr>
        <w:t>E. 1.3</w:t>
      </w:r>
    </w:p>
    <w:p>
      <w:r>
        <w:t>Dans le cadre d'un recours, l'autorité a un plein pouvoir d'examen en droit, mais un pouvoir limité à l'arbitraire en fait, n'examinant par ailleurs que les griefs formulés et motivés par le recourant (art. 320 CPC; HOHL, Procédure civile, Tome II, 2ème éd., 2010, n. 2307). Le recours étant instruit en procédure sommaire (art. 251 let. a CPC), la maxime des débats s'applique et la preuve des faits allégués doit être apportée par titres</w:t>
      </w:r>
    </w:p>
    <w:p>
      <w:r>
        <w:t>- 4/6 -</w:t>
      </w:r>
    </w:p>
    <w:p>
      <w:r>
        <w:t>C/12307/2013 (art. 55 al. 1, 255 let. a a contrario et 254 CPC). En outre, la maxime de disposition s'applique (art. 58 al. 1 CPC).</w:t>
      </w:r>
    </w:p>
    <w:p>
      <w:r>
        <w:rPr>
          <w:b/>
        </w:rPr>
        <w:t>E. 2.1</w:t>
      </w:r>
    </w:p>
    <w:p>
      <w:r>
        <w:t>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Le fait que le titre ait été rédigé par le poursuivant (ou son représentant) est dénué de pertinence; il suffit qu'il comporte la signature du poursuivi ou de son représentant (arrêt du Tribunal fédéral 5A_849/2012 du 25 juin 2013 consid. 2.1). Des factures ne valent pas reconnaissances de dette (PANCHAUD/CAPREZ, La mainlevée d'opposition, 2ème éd., 1980, § 3 ch. 3), et ce même si elles n'ont pas été contestées (arrêt du Tribunal fédéral 5P.290/2006 du 12 octobre 2006 consid. 3.3). La procédure de mainlevée est un incident de la poursuite; il s'agit d'une procédure sur pièces qui n'a pas pour objet de statuer sur la réalité de la prétention en poursuite (ATF 136 III 583 consid. 2.3 p. 586 s.; 133 III 645 consid. 5.3 p. 653 s.; 133 III 399 consid. 1.5 p. 400). Le juge de la mainlevée examine uniquement la force exécutoire du titre produit par le poursuivant, sa nature formelle, et non pas la validité de la prétention déduite en poursuite (ATF 139 III 444 consid. 4.1.1 p. 446; 132 III 140 consid. 4.1.1 p. 142).</w:t>
      </w:r>
    </w:p>
    <w:p>
      <w:r>
        <w:rPr>
          <w:b/>
        </w:rPr>
        <w:t>E. 2.2</w:t>
      </w:r>
    </w:p>
    <w:p>
      <w:r>
        <w:t>En l'espèce, la recourante n'a produit, devant le premier juge, que des factures émises par elle. De tels documents ne constituent toutefois pas des reconnaissances de dette au sens de l'art. 82 al. 1 LP, dès lors qu'ils ne comportent aucune acceptation écrite et signée de l'intimée. C'est donc à bon droit que le Tribunal a considéré que les factures produites ne constituaient pas des titres de mainlevée provisoire.</w:t>
      </w:r>
    </w:p>
    <w:p>
      <w:r>
        <w:rPr>
          <w:b/>
        </w:rPr>
        <w:t>E. 2.3</w:t>
      </w:r>
    </w:p>
    <w:p>
      <w:r>
        <w:t>Pour le surplus, selon l'art. 256 al. 1 CPC, le Tribunal peut - sous réserve de cas particuliers non pertinents en l'espèce (cf. art. 273, 276 al. 1, 306 et 307 CPC) - renoncer aux débats et statuer sur pièces, étant rappelé qu'en procédure sommaire, la preuve doit être rapportée par titres. Lorsqu'une requête</w:t>
      </w:r>
    </w:p>
    <w:p>
      <w:r>
        <w:t>- 5/6 -</w:t>
      </w:r>
    </w:p>
    <w:p>
      <w:r>
        <w:t>C/12307/2013 paraît manifestement infondée, le tribunal peut même rejeter une requête sans donner à la partie adverse l'occasion de se déterminer (cf. art. 253 CPC). Le code de procédure civile n'imposait dès lors pas au Tribunal, en l'espèce, de convoquer une audience et d'entendre les parties oralement. En outre, la recourante, qui était la partie requérante, a eu l'occasion, aux termes de sa requête de mainlevée, de faire valoir ses arguments avant que la décision attaquée ne soit rendue. Son droit d'être entendue (art. 29 al. 2 Cst.) a ainsi été respecté. Le jugement querellé ne viole, par conséquent, pas les droits procéduraux de la recourante. Il est, pour le surplus, rappelé à celle-ci que la procédure de mainlevée n'a pas pour objet de statuer sur la réalité de la prétention et qu'elle peut agir par la voie d'une demande en paiement pour recouvrer sa créance alléguée, si elle s'y estime fondée. La décision entreprise ne constitue dès lors en aucune manière une incitation aux mauvais payeurs à ne pas s'acquitter de leurs obligations, contrairement à ce qu'elle soutient.</w:t>
      </w:r>
    </w:p>
    <w:p>
      <w:r>
        <w:rPr>
          <w:b/>
        </w:rPr>
        <w:t>E. 3</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L'émolument de la présente décision sera également fixé à 300 fr. Il est mis à la charge de la recourante et sera compensé avec l'avance de frais du même montant opérée par celle-ci, acquise à l'Etat par compensation (art. 111 al. 1 CPC). La recourante versera à l'intimée, assistée d'un conseil devant la Cour, des dépens arrêtés à 300 fr., débours et TVA compris (art. 96 et 105 al. 2 CPC; art. 85 et 90 RTFMC; art. 25 et 26 LaCC). * * * * *</w:t>
      </w:r>
    </w:p>
    <w:p>
      <w:r>
        <w:t>- 6/6 -</w:t>
      </w:r>
    </w:p>
    <w:p>
      <w:r>
        <w:t>C/12307/2013</w:t>
      </w:r>
    </w:p>
    <w:p>
      <w:r>
        <w:t>PAR CES MOTIFS, La Chambre civile : A la forme : Déclare recevable le recours interjeté le 18 novembre 2013 par A______ SARL contre le jugement JTPI/14913/2013 rendu le 7 novembre 2013 par le Tribunal de première instance dans la cause C/12307/2013-4 SML. Au fond : Rejette ce recours. Déboute les parties de toutes autres conclusions. Sur les frais : Arrête les frais judiciaires du recours à 300 fr. et les met à la charge de A______ SARL. Compense les frais judiciaires du recours avec l'avance de frais du même montant fournie par A______ SARL, qui reste acquise à l'Etat. Condamne A______ SARL à payer à B______ SARL la somme de 300 fr. à titre de dépens de recours.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