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ACJC/310/2019 vom 14. Juni 2018</w:t>
      </w:r>
    </w:p>
    <w:p>
      <w:r>
        <w:t>GE Cour de justice, 2018-06-14, FR</w:t>
      </w:r>
    </w:p>
    <w:p>
      <w:r>
        <w:rPr>
          <w:b/>
        </w:rPr>
        <w:t xml:space="preserve">Quelle: </w:t>
      </w:r>
      <w:r>
        <w:t>https://mcp.opencaselaw.ch/entscheid/ge_gerichte_ACJC_310_2019</w:t>
      </w:r>
    </w:p>
    <w:p>
      <w:r>
        <w:t>FR: GE_GERICHTE ACJC/310/2019 du 14 juin 2018</w:t>
      </w:r>
    </w:p>
    <w:p>
      <w:r>
        <w:t>IT: GE_GERICHTE ACJC/310/2019 del 14 giugno 2018</w:t>
      </w:r>
    </w:p>
    <w:p>
      <w:pPr>
        <w:pStyle w:val="Heading2"/>
      </w:pPr>
      <w:r>
        <w:t>Erwägungen</w:t>
      </w:r>
    </w:p>
    <w:p>
      <w:r>
        <w:rPr>
          <w:b/>
        </w:rPr>
        <w:t>E. 1.1</w:t>
      </w:r>
    </w:p>
    <w:p>
      <w:r>
        <w:t>Aux termes de l'art. 332 CPC, la décision sur la demande en révision peut faire l'objet d'un recours.</w:t>
      </w:r>
    </w:p>
    <w:p>
      <w:r>
        <w:rPr>
          <w:b/>
        </w:rPr>
        <w:t>E. 1.2</w:t>
      </w:r>
    </w:p>
    <w:p>
      <w:r>
        <w:t>Interjeté dans le délai et selon la forme prévue par la loi (art. 321 al. 1, 145 al. 1 let. b et 142 al. 3 CPC), le recours est recevable.</w:t>
      </w:r>
    </w:p>
    <w:p>
      <w:r>
        <w:rPr>
          <w:b/>
        </w:rPr>
        <w:t>E. 1.3</w:t>
      </w:r>
    </w:p>
    <w:p>
      <w:r>
        <w:t>Le pouvoir d'examen de la Cour est limité à la violation du droit et à la constatation manifestement inexacte des faits (art. 320 CPC).</w:t>
      </w:r>
    </w:p>
    <w:p>
      <w:r>
        <w:t>La Cour dispose ainsi d'un plein pouvoir d'examen en droit, mais d'un pouvoir limité à l'arbitraire en fait, n'examinant par ailleurs que les griefs formulés et motivés par le recourant (HOHL, Procédure civile II, 2010, n° 2307).</w:t>
      </w:r>
    </w:p>
    <w:p>
      <w:r>
        <w:rPr>
          <w:b/>
        </w:rPr>
        <w:t>E. 2</w:t>
      </w:r>
    </w:p>
    <w:p>
      <w:r>
        <w:t>Le premier juge n'a, à juste titre, pas examiné la question de la légitimation passive de C______ SA, D______ SA et E______ SA, la procédure ayant été limitée à la question de la recevabilité de la demande et de l'existence d'un motif de révision.</w:t>
      </w:r>
    </w:p>
    <w:p>
      <w:r>
        <w:t>La recevabilité de la demande en révision, soit le respect par la recourante du délai de 90 jours dès la découverte du motif de révision (art. 329 al. 1 CPC), n'est pas remise en cause en appel. Seule la question de l'existence ou non d'un motif de révision sera dès lors examinée par la Cour.</w:t>
      </w:r>
    </w:p>
    <w:p>
      <w:r>
        <w:rPr>
          <w:b/>
        </w:rPr>
        <w:t>E. 3</w:t>
      </w:r>
    </w:p>
    <w:p>
      <w:r>
        <w:t>La recourante fait grief au premier juge d'avoir constaté les faits de manière manifestement inexacte et d'avoir violé l'art. 328 al. 1 let. c CPC. Elle allègue que sa demande en révision se fonde sur des faits qui étaient établis au moment de la transaction. Lors de celle-ci, elle a été trompée par les intimées, qui ont affirmé que le montant dû à titre de commissions s'élevait à 375'000 fr., alors qu'elles savaient lui devoir, à ce titre, un montant de 1'216'922 fr. 12, conformément au tableau produit.</w:t>
      </w:r>
    </w:p>
    <w:p>
      <w:r>
        <w:t>- 8/13 -</w:t>
      </w:r>
    </w:p>
    <w:p>
      <w:r>
        <w:t>C/6063/2014</w:t>
      </w:r>
    </w:p>
    <w:p>
      <w:r>
        <w:t>Les intimées font valoir que le recours est mal fondé, la recourante fondant sa demande en révision sur des faits qui étaient contestés et incertains lors de la transaction.</w:t>
      </w:r>
    </w:p>
    <w:p>
      <w:r>
        <w:rPr>
          <w:b/>
        </w:rPr>
        <w:t>E. 3.1</w:t>
      </w:r>
    </w:p>
    <w:p>
      <w:r>
        <w:t>La transaction judiciaire passée durant la procédure de conciliation est consignée au procès-verbal et est signée par les parties (art. 208 al. 1 CPC). Elle a les effets d'une décision entrée en force (art. 208 al. 2 CPC) et est revêtue de l'autorité de la chose jugée (arrêt du Tribunal fédéral 4A_254/2016 du 10 juillet 2017 consid. 4.1.1).</w:t>
      </w:r>
    </w:p>
    <w:p>
      <w:r>
        <w:t>Cela étant, seule la voie de la révision est ouverte à la partie qui fait valoir que la transaction judiciaire n'est pas valable (art. 328 al. 1 let. c CPC; ATF 139 III 133 consid. 1.2, in SJ 2013 I 405; HOHL, Procédure civile I, 2016, n° 2408 p. 400; SCHMIDLIN, in Commentaire romand CO I, 2012, n° 92 ad art. 23, 24 CO).</w:t>
      </w:r>
    </w:p>
    <w:p>
      <w:r>
        <w:t>Les motifs pour lesquels une transaction judiciaire ne serait pas valable sont essentiellement des vices du consentement au sens du droit privé, soit notamment en raison d'une erreur (art. 23 CC) ou d'un dol (art. 28 CO) (HOHL, op. cit., n° 2410; MORAND, Transaction judiciaire, extrajudiciaire et arbitrale, 2016, n° 593 p. 180).</w:t>
      </w:r>
    </w:p>
    <w:p>
      <w:r>
        <w:t>Est dans l'erreur, au sens de l'art. 23 CO, celui qui a une fausse représentation d'un fait. L'absence de représentation d'un fait, à savoir l'ignorance de celui-ci, y est assimilée.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(arrêt du Tribunal fédéral 5A_187/2013 du 4 octobre 2012 consid. 7.1 et les références citées).</w:t>
      </w:r>
    </w:p>
    <w:p>
      <w:r>
        <w:t>Dans le domaine des transactions judiciaires, les art. 23 ss CC s'appliquent avec restriction (SCHMIDLIN, Berner Kommentar OR I, 2013, n° 281 et 295 ad art. 23/24 CO; SCHWEIZER, in Code de procédure civile commentée, 2011, n° 38 ad art. 328 CPC; HOHL, op. cit., n° 2411 p. 400).</w:t>
      </w:r>
    </w:p>
    <w:p>
      <w:r>
        <w:t>En effet, la transaction a pour but de mettre définitivement fin au litige et aux incertitudes existantes moyennant des concessions réciproques, faites en considération des risques inhérents à la procédure. Elle est précisément conclue pour éviter un examen complet des faits et de leur portée juridique (ATF 54 II 188 consid. 2; arrêt du Tribunal fédéral 5A_688/2013 du 14 avril 2014 consid. 8.2; SCHWEIZER, in Code de procédure civile commentée, 2011, n° 38 ad art. 328 CPC).</w:t>
      </w:r>
    </w:p>
    <w:p>
      <w:r>
        <w:t>Avant la conclusion d'une transaction, les parties évaluent d'abord les risques d'une procédure judiciaire dont l'issue est souvent incertaine (risque de procès).</w:t>
      </w:r>
    </w:p>
    <w:p>
      <w:r>
        <w:t>- 9/13 -</w:t>
      </w:r>
    </w:p>
    <w:p>
      <w:r>
        <w:t>C/6063/2014 En transigeant, elles assument le risque que la réalité soit différente, que ce soit en leur faveur ou en leur défaveur (risque de transaction). L'accord apparaît alors plus ou moins avantageux à l'une ou l'autre des parties. Cette éventualité est prise en compte par les parties lors de la conclusion de la transaction. Il ne s'agit pas d'un défaut du système mais du fonctionnement d'un mécanisme accepté (MORAND, op. cit., n°s 355 et 356 p. 119).</w:t>
      </w:r>
    </w:p>
    <w:p>
      <w:r>
        <w:t>Lors de la conclusion de la transaction, les parties peuvent avoir admis que des éléments de fait ou de droit étaient certains et non controversés (caput non controversum). Cette certitude peut même être le fait d'une seule partie, pour autant que l'autre ait pu le reconnaître. Dès lors, si une partie est victime d'une erreur sur un élément considéré comme certain, elle peut invoquer son erreur (MORAND, op. cit., n° 361, p. 121).</w:t>
      </w:r>
    </w:p>
    <w:p>
      <w:r>
        <w:t>En revanche, l'erreur sur un point douteux qui a été réglé par la transaction et qui l'a été de manière définitive selon la volonté des parties, ne peut être prise en considération. En raison de la nature de la transaction, une contestation ultérieure pour cause d'erreur sur les points contestés et incertains (caput controversum) au moment de la conclusion est exclue lorsque ceux-ci sont avérés plus tard, car sans cela on remettrait en cause précisément les questions qui avaient déterminé les intéressés à transiger (ATF 54 II 188 consid. 2; arrêts du Tribunal fédéral 5A_688/2013 précité consid. 8.2 et 5A_187/2013 précité consid. 7.1).</w:t>
      </w:r>
    </w:p>
    <w:p>
      <w:r>
        <w:t>En d'autres termes, les parties ne peuvent pas invoquer une erreur portant sur les points incertains (caput controversum), qu'elles entendaient régler définitivement en transigeant. Le fait que, par la suite, elles constatent qu'elles étaient dans l'erreur au sujet de points contestés ne saurait les autoriser à attaquer la transaction en invoquant cette erreur. En revanche, si les deux parties tiennent un fait pour certain (caput non controversum) et qu'il s'avère ensuite que la situation est différente, une erreur de base peut être retenue (ATF 132 III 737 consid. 1; 130 III 49 consid. 1; arrêts du Tribunal fédéral 5A_772/2014 du 17 mars 2015 consid. 5.1; 5A_187/2013 précité consid. 7.1 et 4A_279/2007 du 15 octobre 2007 consid. 4.1; MORAND, op. cit., n° 358 p. 120).</w:t>
      </w:r>
    </w:p>
    <w:p>
      <w:r>
        <w:t>Il appartient à celui qui se prévaut d'une erreur d'en établir l'existence (art. 8 CC; arrêt du Tribunal fédéral 4A_641/2010 du 23 février 2011 consid. 3.5.1, in SJ 2011 I 321).</w:t>
      </w:r>
    </w:p>
    <w:p>
      <w:r>
        <w:t>3.2.1 En l'occurrence, la transaction ACTPI/344/2012 conclue entre les parties a eu pour but de mettre fin au litige et aux incertitudes, en particulier s'agissant des commissions dues ou non sur les travaux commandés par L______.</w:t>
      </w:r>
    </w:p>
    <w:p>
      <w:r>
        <w:t>En effet, après la résiliation des relations contractuelles entre les parties, la recourante a mis en demeure les intimées de lui fournir tous les documents utiles pour établir le montant total de ses commissions. Les intimées ont alors reconnu</w:t>
      </w:r>
    </w:p>
    <w:p>
      <w:r>
        <w:t>- 10/13 -</w:t>
      </w:r>
    </w:p>
    <w:p>
      <w:r>
        <w:t>C/6063/2014 lui devoir la somme de 182'755 fr. (143'146 fr. + 39'609 fr.) à titre de commissions sur les travaux commandés par les sœurs I______/J______/ K______, mais ont contesté être redevables d'un quelconque montant sur les honoraires perçus auprès de L______. A cet égard, les intimées ont indiqué que ce dernier ne leur avait pas été présenté par la recourante.</w:t>
      </w:r>
    </w:p>
    <w:p>
      <w:r>
        <w:t>Contrairement à ce que soutient la recourante, il ne ressort pas du dossier que les intimées auraient, lors des négociations et de la transaction, « abandonné cette position d'opposition », en reconnaissant lui devoir des commissions sur les travaux commandés par L______.</w:t>
      </w:r>
    </w:p>
    <w:p>
      <w:r>
        <w:t>Ce fait était donc contesté au moment de la conclusion de la transaction, ce qui constitue un caput controversum, comme retenu par le premier juge.</w:t>
      </w:r>
    </w:p>
    <w:p>
      <w:r>
        <w:t>En transigeant, la recourante a renoncé à ce que le Tribunal instruise sur les circonstances de la rencontre entre les intimées et L______ et sur son éventuelle implication. Elle a donc accepté de transiger alors que l'état de fait et le droit étaient incertains sur ce point. C'est précisément l'un des buts et l'un des efforts d'une transaction que de laisser l'examen de points litigieux incertains. La recourante ne peut donc pas se prévaloir d'une erreur à ce sujet pour invalider la transaction ACTPI/344/2012.</w:t>
      </w:r>
    </w:p>
    <w:p>
      <w:r>
        <w:t>Par ailleurs, la recourante ne démontre pas que, lors de la transaction, les intimées savaient lui être redevables de commissions sur les travaux commandés par L______. Bien que le tableau, contenu dans le courriel du 30 octobre 2012, mentionne un montant de 477'300 fr. 11 dû à ce titre, le premier juge a, à juste titre, considéré que celui-ci ne signifie pas que les intimées reconnaissaient devoir ce montant à la recourante. En effet, ce tableau s'intitule « projection [F______] », ce qui accrédite les explications des intimées, selon lesquelles elles ont demandé à leur comptable d'évaluer les risques du procès. Ce dernier a alors établi une projection incluant les commissions litigieuses, notamment celles relatives à L______.</w:t>
      </w:r>
    </w:p>
    <w:p>
      <w:r>
        <w:t>Ainsi, contrairement à ce que soutient la recourante, le premier juge n'a pas arbitrairement ignoré la prétendue tromperie des intimées lors de la conclusion de la transaction.</w:t>
      </w:r>
    </w:p>
    <w:p>
      <w:r>
        <w:t>3.2.2 Quant aux commissions dues sur les travaux commandés par les sœurs I______/J______/K______, les intimées ont reconnu devoir à la recourante un montant de 182'755 fr. à ce titre, soit pour les travaux commandés avant le 31 janvier 2012. Elles ont contesté devoir un montant supplémentaire, en particulier pour des travaux adjugés après cette date. Il ressort du dossier que la recourante ne connait pas l'étendue des travaux commandés par les sœurs I______/J______/K______ depuis le printemps 2011.</w:t>
      </w:r>
    </w:p>
    <w:p>
      <w:r>
        <w:t>- 11/13 -</w:t>
      </w:r>
    </w:p>
    <w:p>
      <w:r>
        <w:t>C/6063/2014</w:t>
      </w:r>
    </w:p>
    <w:p>
      <w:r>
        <w:t>Il s'ensuit que, lors de la transaction, le montant précis des commissions sur les honoraires perçus auprès des sœurs I______/J______/K______ était incertain, ce qui constitue également un caput controversum, comme retenu par le premier juge.</w:t>
      </w:r>
    </w:p>
    <w:p>
      <w:r>
        <w:t>En transigeant, la recourante a renoncé à ce que le Tribunal administre des preuves sur ce fait, en particulier ordonne la production des pièces requises par cette dernière dans sa demande du 19 juin 2012. La recourante ne peut donc pas se prévaloir d'une erreur sur ce point pour invalider la transaction ACTPI/344/2012.</w:t>
      </w:r>
    </w:p>
    <w:p>
      <w:r>
        <w:t>Le grief soulevé par le recourante, soit que le premier juge a arbitrairement retenu que le tableau, contenu dans le courriel du 30 octobre 2012, concernait également des travaux adjugés après le 31 janvier 2012, n'est donc pas pertinent pour l'issue du litige.</w:t>
      </w:r>
    </w:p>
    <w:p>
      <w:r>
        <w:t>Par ailleurs, en proposant une somme de 375'000 fr., pour solde de tous comptes, les intimées n'ont pas intentionnellement trompé la recourante pour qu'elle accepte une transaction défavorable. En effet, comme relevé supra, le tableau, contenu dans le courriel du 30 octobre 2012, n'est qu'une projection des risques du procès et non un aveu des intimées sur les montants précis dus à la recourante à titre de commissions.</w:t>
      </w:r>
    </w:p>
    <w:p>
      <w:r>
        <w:t>Ainsi, le premier juge a, à bon droit, retenu que les motifs de révision allégués ne peuvent pas invalider la transaction ACTPI/344/2012.</w:t>
      </w:r>
    </w:p>
    <w:p>
      <w:r>
        <w:t>Entièrement infondé, le recours sera rejeté.</w:t>
      </w:r>
    </w:p>
    <w:p>
      <w:r>
        <w:rPr>
          <w:b/>
        </w:rPr>
        <w:t>E. 4</w:t>
      </w:r>
    </w:p>
    <w:p>
      <w:r>
        <w:t>Les frais judiciaires du recours seront fixés à 2'500 fr compte tenu de l'importance du travail que celui-ci a impliqué (art. 5, 38 et 43 RTFMC) et mis à la charge de la recourante, qui succombe (art. 106 al. 1 CPC). Ils seront partiellement compensés avec l'avance de frais de 1'200 fr. fournie par cette dernière, laquelle reste acquise à l'Etat de Genève (art. 111 al. 1 CPC). La recourante sera en conséquence condamnée à verser le solde en 1'300 fr. aux Services financiers du Pouvoir judiciaire.</w:t>
      </w:r>
    </w:p>
    <w:p>
      <w:r>
        <w:t>Elle sera également condamnée à verser 2'300 fr. aux intimées à titre de dépens, pris conjointement et solidairement (art. 85 et 90 RTFMC, art. 23, 25 et 26 LaCC). * * * * *</w:t>
      </w:r>
    </w:p>
    <w:p>
      <w:r>
        <w:t>- 12/13 -</w:t>
      </w:r>
    </w:p>
    <w:p>
      <w:r>
        <w:t>C/6063/2014</w:t>
      </w:r>
    </w:p>
    <w:p>
      <w:r>
        <w:t>PAR CES MOTIFS, La Chambre civile : A la forme : Déclare recevable le recours interjeté le 20 août 2018 par A______ SA contre le jugement JTPI/9584/2018 rendu le 14 juin 2018 par le Tribunal de première instance dans la cause C/6063/2014-5. Au fond : Rejette ce recours. Déboute les parties de toutes autres conclusions. Sur les frais : Arrête les frais judiciaires du recours à 2'500 fr. et les met à charge de A______ SA. Dit qu'ils sont partiellement compensés par l'avance de frais fournie par A______ SA, acquise à l'Etat de Genève. Condamne A______ SA à verser la somme de 1'300 fr. à l'Etat de Genève, soit pour lui les Services financiers du Pouvoir judiciaire, à titre de solde des frais judiciaires de recours. Condamne A______ SA à verser à B______ SA, C______ SA, D______ SA et E______ SA, prises conjointement et solidairement, la somme de 2'300 fr. à titre de dépens de recours. Siégeant : Monsieur Cédric-Laurent MICHEL, président; Madame Pauline ERARD, Madame Paola CAMPOMAGNANI, juges; Madame Sandra MILLET, greffière.</w:t>
      </w:r>
    </w:p>
    <w:p>
      <w:r>
        <w:t>Le président : Cédric-Laurent MICHEL</w:t>
      </w:r>
    </w:p>
    <w:p>
      <w:r>
        <w:t>La greffière : Sandra MILLET</w:t>
      </w:r>
    </w:p>
    <w:p>
      <w:r>
        <w:t>- 13/13 -</w:t>
      </w:r>
    </w:p>
    <w:p>
      <w:r>
        <w:t>C/6063/2014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