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ACJC/310/2015 vom 4. Februar 2015</w:t>
      </w:r>
    </w:p>
    <w:p>
      <w:r>
        <w:t>GE Cour de justice, 2015-02-04, FR</w:t>
      </w:r>
    </w:p>
    <w:p>
      <w:r>
        <w:rPr>
          <w:b/>
        </w:rPr>
        <w:t xml:space="preserve">Quelle: </w:t>
      </w:r>
      <w:r>
        <w:t>https://mcp.opencaselaw.ch/entscheid/ge_gerichte_ACJC_310_2015</w:t>
      </w:r>
    </w:p>
    <w:p>
      <w:r>
        <w:t>FR: GE_GERICHTE ACJC/310/2015 du 4 février 2015</w:t>
      </w:r>
    </w:p>
    <w:p>
      <w:r>
        <w:t>IT: GE_GERICHTE ACJC/310/2015 del 4 febbraio 2015</w:t>
      </w:r>
    </w:p>
    <w:p>
      <w:pPr>
        <w:pStyle w:val="Heading2"/>
      </w:pPr>
      <w:r>
        <w:t>Volltext</w:t>
      </w:r>
    </w:p>
    <w:p>
      <w:r>
        <w:t>Le présent arrêt est communiqué aux parties par plis recommandés, ainsi qu'au Tribunal de première instance le 18 mars 2015.</w:t>
      </w:r>
    </w:p>
    <w:p>
      <w:r>
        <w:t>REPUBLIQUE ET</w:t>
      </w:r>
    </w:p>
    <w:p>
      <w:r>
        <w:t>CANTON DE GENEVE POUVOIR JUDICIAIRE C/23153/2014 ACJC/310/2015 ARRÊT DE LA COUR DE JUSTICE Chambre civile DU LUNDI 16 MARS 2015</w:t>
      </w:r>
    </w:p>
    <w:p>
      <w:r>
        <w:t>Entre Madame A_____, domiciliée _____, recourante contre un jugement rendu par la 16ème Chambre du Tribunal de première instance de ce canton le 4 février 2015, comparant par Me Timothée Bauer, avocat, 44, avenue Krieg, case postale 45, 1211 Genève 17, en l'étude duquel elle fait élection de domicile, et Monsieur B_____, domicilié _____, intimé, comparant par Me Virginie Jordan, avocate, 14, rue De-Candolle, 1205 Genève, en l'étude de laquelle il fait élection de domicile.</w:t>
      </w:r>
    </w:p>
    <w:p>
      <w:r>
        <w:t>- 2/4 -</w:t>
      </w:r>
    </w:p>
    <w:p>
      <w:r>
        <w:t>C/23153/2014 Vu, EN FAIT, le jugement JTPI/1584/2015 du Tribunal de première instance rendu le 4 février 2015 et notifié le 6 février 2015, par lequel il a déclaré irrecevable la requête de B_____ tendant à la suspension de la procédure en mesures protectrices de l'union conjugale initiée par A_____ jusqu'à droit jugé dans la procédure C/______ en annulation de mariage intentée par B_____; Vu le recours formé le 16 février 2015 par A_____, qui conclut à l'annulation de ce jugement et, principalement, à la suspension de la procédure; Qu'elle demande l'octroi de l'effet suspensif, exposant qu'à défaut du prononcé de celui- ci, elle serait privée de tous les droits qui découleraient de sa requête de mesures protectrices de l'union conjugale; Que l'intimé conclut au rejet de la requête, la recourante ne pouvant obtenir la protection sur effet suspensif d'un droit qu'elle n'a pas obtenu en première instance; Considérant, EN DROIT, que, dans le cadre d'un recours,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dans le cadre d'un jugement susceptible d'appel, l'autorité d'appel peut octroyer l'effet suspensif, si la partie appelante risque de subir, à défaut,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le jugement querellé déclare irrecevable la requête de mesures protectrices formée par la recourante; Qu'ainsi, cette dernière ne s'est vue octroyer aucun droit ni imposer aucune obligation; Que, partant, la recourante ne peut se prévaloir d'aucune mesure susceptible d'être exécutée (cf. ATF 126 V 407 consid. 3b et 3c); Qu'il ne peut donc être donné suite à sa requête, qui sera rejetée;</w:t>
      </w:r>
    </w:p>
    <w:p>
      <w:r>
        <w:t>- 3/4 -</w:t>
      </w:r>
    </w:p>
    <w:p>
      <w:r>
        <w:t>C/23153/2014 Qu'il sera statué sur les frais et dépens de l'incident avec la décision au fond (art.104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C/23153/2014</w:t>
      </w:r>
    </w:p>
    <w:p>
      <w:r>
        <w:t>PAR CES MOTIFS, La Chambre civile : Statuant sur suspension de l'exécution : Rejette la requête de A_____ tendant à la suspension de l'effet exécutoire attaché au jugement JTPI/1584/2015 rendu le 4 février 2015 par le Tribunal de première instance dans la procédure C/23153/2014-16. Dit qu'il sera statué sur les frais et dépens de l'incident avec la décision sur le fond. Siégeant : Madame Florence KRAUSKOPF, présidente; Madame Anne-Lise JAQUIER, greffière.</w:t>
      </w:r>
    </w:p>
    <w:p>
      <w:r>
        <w:t>La présidente de la Chambre civile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