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ACJC/310/2014 vom 9. Oktober 2013</w:t>
      </w:r>
    </w:p>
    <w:p>
      <w:r>
        <w:t>GE Cour de justice, 2013-10-09, FR</w:t>
      </w:r>
    </w:p>
    <w:p>
      <w:r>
        <w:rPr>
          <w:b/>
        </w:rPr>
        <w:t xml:space="preserve">Quelle: </w:t>
      </w:r>
      <w:r>
        <w:t>https://mcp.opencaselaw.ch/entscheid/ge_gerichte_ACJC_310_2014</w:t>
      </w:r>
    </w:p>
    <w:p>
      <w:r>
        <w:t>FR: GE_GERICHTE ACJC/310/2014 du 9 octobre 2013</w:t>
      </w:r>
    </w:p>
    <w:p>
      <w:r>
        <w:t>IT: GE_GERICHTE ACJC/310/2014 del 9 ottobre 2013</w:t>
      </w:r>
    </w:p>
    <w:p>
      <w:pPr>
        <w:pStyle w:val="Heading2"/>
      </w:pPr>
      <w:r>
        <w:t>Erwägungen</w:t>
      </w:r>
    </w:p>
    <w:p>
      <w:r>
        <w:rPr>
          <w:b/>
        </w:rPr>
        <w:t>E. 1.1</w:t>
      </w:r>
    </w:p>
    <w:p>
      <w:r>
        <w:t>L'appel est recevable contre les décisions finales et les décisions incidentes de première instance (art. 308 al. 1 let. a CPC). Dans les affaires patrimoniales,</w:t>
      </w:r>
    </w:p>
    <w:p>
      <w:r>
        <w:t>- 5/11 -</w:t>
      </w:r>
    </w:p>
    <w:p>
      <w:r>
        <w:t>C/888/2013 l'appel est recevable si la valeur litigieuse au dernier état des conclusions est de 10'000 fr. au moins (art. 308 al. 2 CPC; JEANDIN, in Code de procédure civile commenté, BOHNET/HALDY/JEANDIN/SCHWEIZER/TAPPY (éd.), Bâle, 2011, n. 13 ad art. 308 CPC). Ces conditions valent aussi en procédure de cas clair (HOHL, Procédure civile, tome II, 2ème éd., 2010, n. 1684 s.). En l'espèce, la valeur litigieuse dépasse largement le seuil de 10'000 fr., de sorte que la voie de l'appel est ouverte. Le recours déposé sera en conséquence traité comme un appel. Les décisions rendues en matière de cas clairs sont soumises à la procédure sommaire (art. 248 let b et 257 al. 1 CPC). Qu'elle accorde la protection ou déclare la requête irrecevable, la décision peut être attaquée dans les dix jours à compter de sa notification (art. 314 al. 1 CPC). Déposé dans le délai et la forme prescrits par la loi (art. 311 al. 1 CPC), l'appel est dès lors recevable. Il en va de même de la réponse de l'intimée et des réplique et duplique des parties.</w:t>
      </w:r>
    </w:p>
    <w:p>
      <w:r>
        <w:rPr>
          <w:b/>
        </w:rPr>
        <w:t>E. 1.2</w:t>
      </w:r>
    </w:p>
    <w:p>
      <w:r>
        <w:t>L'instance d'appel revoit la cause en fait et en droit avec un plein pouvoir d'examen (art. 310 CPC; HOHL, op. cit., n. 2314 et 2416; RETORNAZ, L'appel et le recours, in Procédure civile suisse, 2010, p. 349 ss, n. 121). Elle applique la maxime des débats ainsi que le principe de disposition (art. 55 al. 1 et 58 al. 1 CPC).</w:t>
      </w:r>
    </w:p>
    <w:p>
      <w:r>
        <w:rPr>
          <w:b/>
        </w:rPr>
        <w:t>E. 2</w:t>
      </w:r>
    </w:p>
    <w:p>
      <w:r>
        <w:t>L'appelant conteste la recevabilité du fait nouveau invoqué par l'intimée.</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Cela étant, les exigences posées par l'art. 257 al. 1 CPC doivent être satisfaites en première instance déjà, de sorte que l'instance d'appel n'a pas à vérifier l'appréciation du premier juge sur la base de pièces qui ne lui ont pas été soumises. Il est, cas échéant, loisible à la partie demanderesse d'introduire, si elle s'y croit fondée, une nouvelle requête devant le même juge, mais elle ne doit pas être autorisée à poursuivre, en appel, une voie qui ne lui était pas ouverte en première instance (arrêt du Tribunal fédéral du 4A_420/2012 du 7 août 2012 consid. 5, publié in SJ 2013 I 130).</w:t>
      </w:r>
    </w:p>
    <w:p>
      <w:r>
        <w:rPr>
          <w:b/>
        </w:rPr>
        <w:t>E. 2.2</w:t>
      </w:r>
    </w:p>
    <w:p>
      <w:r>
        <w:t>Dans la mesure où la partie demanderesse ne peut produire des pièces nouvelles en appel dans le cadre d'une procédure concernant une requête de protection de cas clair, il doit en aller de même, a fortiori, des allégués de faits nouveaux. En conséquence, l'allégué nouveau de l'intimée (partie demanderesse) relatif au prix de vente du véhicule, au demeurant étayé par aucune pièce, ne peut être pris en considération dans le présent appel.</w:t>
      </w:r>
    </w:p>
    <w:p>
      <w:r>
        <w:t>- 6/11 -</w:t>
      </w:r>
    </w:p>
    <w:p>
      <w:r>
        <w:t>C/888/2013</w:t>
      </w:r>
    </w:p>
    <w:p>
      <w:r>
        <w:rPr>
          <w:b/>
        </w:rPr>
        <w:t>E. 3</w:t>
      </w:r>
    </w:p>
    <w:p>
      <w:r>
        <w:t>L'appelant soutient que la situation juridique n'est pas claire, dans la mesure où la validité de la clause prévoyant une augmentation rétroactive des redevances mensuelles en cas de résiliation anticipée du contrat est contestée, de sorte que la requête en cas clair aurait dû être déclarée irrecevable.</w:t>
      </w:r>
    </w:p>
    <w:p>
      <w:r>
        <w:rPr>
          <w:b/>
        </w:rPr>
        <w:t>E. 3.1</w:t>
      </w:r>
    </w:p>
    <w:p>
      <w:r>
        <w:t>La procédure dans les cas clairs est recevable lorsque l'état de fait n'est pas litigieux ou est susceptible d'être immédiatement prouvé et que la situation juridique est claire (art. 257 al. 1 let. a et b CPC; arrêt du Tribunal fédéral 5A_768/2012 du 17 mai 2013 consid. 4.2.1). Cela signifie que l'état de fait doit pouvoir être établi sans peine. En cas de doute, l'affaire doit être traitée dans une procédure complète. La situation juridique peut être considérée comme claire si, sur la base d'une doctrine et d'une jurisprudence éprouvées, la norme s'applique au cas concret et y déploie ses effets de manière évidente (BOHNET, Code de procédure civile commenté, 2011, n. 13 ad art. 257 CPC; HOHL, op. cit., p. 304). En d'autres termes, une situation juridique claire au sens de l'art. 257 al. 1 let. b CPC suppose que l'application du droit conduise à un résultat sans ambiguïté. Ce n'est en règle générale pas le cas si l'application d'une norme exige une décision en équité ou relève de l'appréciation (ATF 138 III 123 consid. 2.1.2). Si la partie adverse, qui doit être entendue (art. 253 CPC), conteste les faits ou oppose une exception à la prétention du demandeur, la protection dans les cas clairs ne peut pas être accordée. Il suffit - à tout le moins - au défendeur de démontrer la vraisemblance de ses objections, mais des allégations dénuées de fondement ne sauraient faire obstacle à un procès rapide (Message du Conseil fédéral du 28 juin 2006 relatif au code de procédure civile suisse [CPC], in FF 2006 p. 6841 ss, spéc. 6959; ACJC/178/20112 du 10 février 2012 consid. 2.2 publié sur le site Internet de la Cour).</w:t>
      </w:r>
    </w:p>
    <w:p>
      <w:r>
        <w:t>En matière pécuniaire, les cas susceptibles de faire l'objet d'une protection en raison de leur clarté sont ceux qui pourraient aboutir au prononcé d'une mainlevée provisoire de l'opposition (BOHNET, op. cit., n. 16 ad art. 257 CPC). Il n'appartient pas au juge d'instruire et de faire un tri entre ce qui doit être admis ou rejeté. Les conclusions doivent pouvoir être admises dans leur intégralité, sous peine d'irrecevabilité (arrêt du Tribunal fédéral 5A_768/2012 du 17 mai 2013 consid. 4.3).</w:t>
      </w:r>
    </w:p>
    <w:p>
      <w:r>
        <w:rPr>
          <w:b/>
        </w:rPr>
        <w:t>E. 3.2</w:t>
      </w:r>
    </w:p>
    <w:p>
      <w:r>
        <w:t>La nature juridique du contrat de leasing est controversée en doctrine, ce dont la jurisprudence s'est faite l'écho. Les tribunaux semblent qualifier le contrat en tenant compte de la volonté des parties et des circonstances du cas (cf. WERRO, Le contrat de leasing dans la pratique, in: La pratique contractuelle 3 - Symposium en droit des contrats, 2012, p.13 et les références citées). En 2008, le Tribunal fédéral a qualifié le contrat de leasing de contrat innommé composé d'éléments du contrat</w:t>
      </w:r>
    </w:p>
    <w:p>
      <w:r>
        <w:t>- 7/11 -</w:t>
      </w:r>
    </w:p>
    <w:p>
      <w:r>
        <w:t>C/888/2013 de bail et de crédit (arrêt du Tribunal fédéral 4A_404/2008 du 18 décembre 2008 consid. 4.1.2). On distingue le contrat de leasing portant sur des biens d'investissement, que le preneur de leasing utilise dans son activité professionnelle pour en tirer un revenu, et celui qui porte sur des biens de consommation, destinés à l’usage privé. Lorsque le contrat de leasing porte sur un bien de consommation, comme un véhicule privé, il s’agit donc d'un contrat de consommation (WERRO, Le droit des contrats - Jurisprudence choisie et annotée, 2012, p. 55). A certaines conditions, le leasing de consommation peut être (en partie) soumis aux dispositions impératives de la loi sur le crédit à la consommation (LCC - RS 221.214.1; art. 1 al. 2 let. a LCC, 8 LCC; cf. également l'art. 7 al. 1 let. e LCC, qui dispose que cette loi ne s'applique pas aux contrats de crédit portant sur un montant inférieur à 500 fr. ou supérieur à 80 000 fr.). Lorsque la LCC ne s'applique pas au contrat de leasing, on peut admettre, à certaines conditions, l'application par analogie de l'art. 266k CO, lequel prévoit que le locataire d'une chose mobilière servant à son usage privé et louée par le bailleur dans l'exercice de son activité professionnelle peut résilier le bail en observant un délai de congé minimum de 30 jours pour la fin d'un trimestre de bail et que le bailleur n'a droit de ce chef à aucune indemnité (arrêt du Tribunal fédéral 4A_404/2008 du 18 décembre 2008 consid. 4.2; WERRO, Le contrat de leasing dans la pratique, op. cit., p. 12 et 22; WEBER, in Basler Kommentar, Obligationenrecht I, HONSELL/VOGT/WIEGAND [éd.], 5e éd. 2011, n. 4 ad art. 266k CO; HEINRICH, Handkommentar zum Schweizer Privatrecht, 2007, n. 1 ad art. 266k CO). Le Tribunal fédéral a toutefois laissée indécise la question - controversée en doctrine - de savoir si cette disposition s'oppose à tout versement d'une indemnité supplémentaire. Il retient cependant que cette disposition interdit en tous les cas le versement d'une indemnité qui dépasserait le montant dû pour l'usage du bien pendant la durée effective du contrat et qui aurait de ce fait le caractère d'une peine conventionnelle (arrêt du Tribunal fédéral 4A_404/2008 précité consid. 5.4).</w:t>
      </w:r>
    </w:p>
    <w:p>
      <w:r>
        <w:rPr>
          <w:b/>
        </w:rPr>
        <w:t>E. 3.3</w:t>
      </w:r>
    </w:p>
    <w:p>
      <w:r>
        <w:t>En l'espèce, le contrat du 14 octobre 2008 est un contrat de leasing portant sur un bien de consommation, soit un véhicule destiné à un usage privé. Ledit contrat n'est cependant pas soumis à la LCC, dans la mesure où il porte sur un montant largement supérieur à 80'000 fr. Dès lors que le contrat précité prévoit la cession de l'usage d'un véhicule à l'appelant pour une durée de 48 mois en échange du paiement d'une redevance mensuelle et que ledit véhicule restait propriété de l'intimée, à charge pour l'appelant de le lui restituer à l'échéance du contrat, il peut être qualifié de contrat mixte, comprenant notamment un élément de bail. Il se pose ainsi la question de</w:t>
      </w:r>
    </w:p>
    <w:p>
      <w:r>
        <w:t>- 8/11 -</w:t>
      </w:r>
    </w:p>
    <w:p>
      <w:r>
        <w:t>C/888/2013 savoir si l'art. 266k CO est applicable au contrat de leasing litigieux, plus particulièrement à la clause des conditions générales qui prévoit une augmentation des redevances de manière rétroactive en cas de résiliation anticipée du contrat, étant relevé que l'intimée ne conteste pas, sur le principe, l'application de cette disposition du code des obligations au contrat de leasing. Il convient en outre de se demander si l'art. 266k CO trouve également application en cas de résiliation anticipée du contrat par le donneur de leasing. En conséquence, contrairement à ce qu'a retenu le premier juge, les contestations soulevées par l'appelant ne sont pas dénuées de fondement, dès lors que la validité du ch. 3.3 des conditions générales n'est nullement évidente, l'application de l'art. 266k CO n'étant pas d'emblée exclue en l'espèce. Il ressort de ce qui précède que la situation juridique n'est pas claire, de sorte que c'est à tort que le premier juge a accordé la protection en cas clair requise. Pour le surplus, le simple fait que le premier juge a écarté certaines prétentions de l'intimée (notamment les frais d'expertise et les frais d'enlèvement du véhicule) aurait d'ores et déjà dû le conduire à déclarer la requête irrecevable, la protection en cas clair ne devant être octroyée que lorsque les conclusions peuvent être admises dans leur intégralité. Par conséquent, le jugement entrepris sera annulé et la requête de protection en cas clair déposée le 11 janvier 2013 par l'intimée sera déclarée irrecevable.</w:t>
      </w:r>
    </w:p>
    <w:p>
      <w:r>
        <w:rPr>
          <w:b/>
        </w:rPr>
        <w:t>E. 4</w:t>
      </w:r>
    </w:p>
    <w:p>
      <w:r>
        <w:t>Lorsque l'instance d'appel statue à nouveau, elle se prononce sur les frais de la première instance (art. 318 al. 3 CPC). En l'espèce, le premier juge a arrêté les frais judiciaires de première instance à 1'000 fr., avancés par l'intimée. Les parties n'ayant pas critiqué ce montant, il y a lieu de le confirmer. Les frais judiciaires d'appel seront arrêtés à 1'000 fr., avancés par l'appelant (art. 95, 104 al. 1, 105 CPC; art. 7 et 26 Règlement fixant le tarif des frais en matière civile, RTFMC - E 1 05.10). Les frais judiciaires des deux instances s'élèvent ainsi à 2'000 fr., couverts par les avances opérées par les deux parties, qui demeurent acquises à l'Etat (art. 111 al. 1 CPC). L'intimée, qui succombe totalement, sera condamnée aux frais de première instance et d'appel (art. 95 al. 1 et 2, 105 al. 1, 106 al. 1 et 318 al. 3 CPC). Elle sera donc condamnée à rembourser à l'appelant la somme de 1'000 fr. (art. 111 al. 2 CPC).</w:t>
      </w:r>
    </w:p>
    <w:p>
      <w:r>
        <w:t>- 9/11 -</w:t>
      </w:r>
    </w:p>
    <w:p>
      <w:r>
        <w:t>C/888/2013 L'intimée sera par ailleurs condamnée à payer les dépens de l'appelant, qui seront fixés à 2'000 fr. pour la première instance, compte tenu de la valeur litigieuse et de l'activité déployée par le conseil de l'appelant (notamment l'absence de réponse écrite) et 1'500 fr. pour la procédure d'appel, soit un total de 3'500 fr., TVA et débours compris (art. 25 et 26 LaCC, 84, 85 al. 1, 88 et 90 RTFMC). * * * * *</w:t>
      </w:r>
    </w:p>
    <w:p>
      <w:r>
        <w:t>- 10/11 -</w:t>
      </w:r>
    </w:p>
    <w:p>
      <w:r>
        <w:t>C/888/2013 PAR CES MOTIFS, La Chambre civile : A la forme : Déclare recevable l'appel interjeté par A______ contre le jugement JTPI/13397/2013 rendu le 9 octobre 2013 par le Tribunal de première instance dans la cause C/888/2013- 20 SCC. Au fond : Annule le jugement entrepris. Et statuant à nouveau : Déclare irrecevable la requête de protection de cas clair déposée le 11 janvier 2013 par B______ contre A______. Déboute les parties de toutes autres conclusions. Sur les frais : Arrête les frais judiciaires de première instance et d'appel à 2'000 fr. Les met à la charge d'B______ et dit qu'ils sont entièrement compensés par les avances de frais opérées par les parties, lesquelles demeurent acquises à l'Etat. Condamne B______ à verser 1'000 fr. à A______ à ce titre. Condamne B______ à verser 3'500 fr. à A______ à titre de dépens de première instance et d'appel. Siégeant : Madame Nathalie LANDRY-BARTHE, présidente; Madame Elena SAMPEDRO et Monsieur Laurent RIEBEN, juges; Madame Véronique BULUNDWE, greffière.</w:t>
      </w:r>
    </w:p>
    <w:p>
      <w:r>
        <w:t>La présidente : Nathalie LANDRY-BARTHE</w:t>
      </w:r>
    </w:p>
    <w:p>
      <w:r>
        <w:t>La greffière : Véronique BULUNDWE</w:t>
      </w:r>
    </w:p>
    <w:p>
      <w:r>
        <w:t>- 11/11 -</w:t>
      </w:r>
    </w:p>
    <w:p>
      <w:r>
        <w:t>C/888/2013</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