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ACJC/307/2021 vom 9. März 2021</w:t>
      </w:r>
    </w:p>
    <w:p>
      <w:r>
        <w:t>GE Cour de justice, 2021-03-09, FR</w:t>
      </w:r>
    </w:p>
    <w:p>
      <w:r>
        <w:rPr>
          <w:b/>
        </w:rPr>
        <w:t xml:space="preserve">Quelle: </w:t>
      </w:r>
      <w:r>
        <w:t>https://mcp.opencaselaw.ch/entscheid/ge_gerichte_ACJC_307_2021</w:t>
      </w:r>
    </w:p>
    <w:p>
      <w:r>
        <w:t>FR: GE_GERICHTE ACJC/307/2021 du 9 mars 2021</w:t>
      </w:r>
    </w:p>
    <w:p>
      <w:r>
        <w:t>IT: GE_GERICHTE ACJC/307/2021 del 9 marzo 2021</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 En l'espèce, la cause porte sur la contribution à l'entretien de l'épouse, dont la valeur capitalisée est supérieure à 10'000 fr. (art. 92 CPC).</w:t>
      </w:r>
    </w:p>
    <w:p>
      <w:r>
        <w:rPr>
          <w:b/>
        </w:rPr>
        <w:t>E. 1.2</w:t>
      </w:r>
    </w:p>
    <w:p>
      <w:r>
        <w:t>Interjeté dans le délai utile de dix jours (art. 271 let. a et 314 al. 1 CPC) et suivant la forme prescrite par la loi (art. 130, 131, 311 al. 1 CPC), l'appel est recevable.</w:t>
      </w:r>
    </w:p>
    <w:p>
      <w:r>
        <w:rPr>
          <w:b/>
        </w:rPr>
        <w:t>E. 1.3</w:t>
      </w:r>
    </w:p>
    <w:p>
      <w:r>
        <w:t>Les mesures provisionnelles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127 III 474 consid. 2b/bb; arrêt du Tribunal fédéral 5A_442/2013 du 24 juillet 2013 consid. 2.1 et 5.1).</w:t>
      </w:r>
    </w:p>
    <w:p>
      <w:r>
        <w:rPr>
          <w:b/>
        </w:rPr>
        <w:t>E. 1.4</w:t>
      </w:r>
    </w:p>
    <w:p>
      <w:r>
        <w:t>Dès lors que la cause concerne l'entretien de l'épouse, le litige est soumis à la maxime inquisitoire simple (art. 272 et 276 al. 1 CPC) et au principe de disposition (art. 58 CPC; arrêt du Tribunal fédéral 5A_970/2017 du 7 juin 2018 consid. 3.1).</w:t>
      </w:r>
    </w:p>
    <w:p>
      <w:r>
        <w:rPr>
          <w:b/>
        </w:rPr>
        <w:t>E. 2</w:t>
      </w:r>
    </w:p>
    <w:p>
      <w:r>
        <w:t>En appel, l'appelante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- 6/11 -</w:t>
      </w:r>
    </w:p>
    <w:p>
      <w:r>
        <w:t>C/13372/2020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En règle générale, les nova doivent être introduits en appel dans le cadre du premier échange d'écriture (ATF 142 III 413 consid. 2.2.4).</w:t>
      </w:r>
    </w:p>
    <w:p>
      <w:r>
        <w:rPr>
          <w:b/>
        </w:rPr>
        <w:t>E. 2.2</w:t>
      </w:r>
    </w:p>
    <w:p>
      <w:r>
        <w:t>En l'espèce, les pièces produites sont postérieures à la date à laquelle le Tribunal a indiqué qu'il gardait la cause à juger; elles sont par conséquent recevables, de même que les faits auxquels elles se rapportent, étant observé qu'en tout état de cause elles ne sont pas pertinentes pour l'issue du litige.</w:t>
      </w:r>
    </w:p>
    <w:p>
      <w:r>
        <w:rPr>
          <w:b/>
        </w:rPr>
        <w:t>E. 3</w:t>
      </w:r>
    </w:p>
    <w:p>
      <w:r>
        <w:t>L'appelante soutient que la contribution d'entretien fixée par le premier juge est trop basse. Le revenu mensuel de B______ est plus élevé que le montant admis par le Tribunal, lequel avait de plus à tort pris uniquement en compte la charge fiscale de son époux et pas la sienne. 3.1.1 Saisi d'une demande en divorce (art. 274 CPC), le tribunal ordonne les mesures provisionnelles nécessaires, en appliquant par analogie les dispositions régissant la protection de l'union conjugale (art. 276 al. 1 CPC). En cas de suspension de la vie commune, la loi prévoit que le tribunal fixe les contributions d'entretien à verser à l'époux (art. 176 al. 1 ch. 1 CC). Le principe et le montant de la contribution d'entretien due selon l'art. 176 al. 1 ch. 1 CC se déterminent en fonction des facultés économiques et des besoins respectifs des époux. Le tribunal doit partir de la convention, expresse ou tacite, que les conjoints ont conclue au sujet de la répartition des tâches et des ressources entre eux (art. 163 al. 2 CC), l'art. 163 CC demeurant en effet la cause de leur obligation d'entretien réciproque.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140 III 337 consid. 4.2.1 et 4.2.2; arrêt du Tribunal fédéral 5A_534/2019 du 31 janvier 2020 consid. 4.1 et les références citées). Quand il n'est pas possible de conserver ce niveau de vie, les époux ont droit à un train de vie semblable (ATF 140 III 337</w:t>
      </w:r>
    </w:p>
    <w:p>
      <w:r>
        <w:t>- 7/11 -</w:t>
      </w:r>
    </w:p>
    <w:p>
      <w:r>
        <w:t>C/13372/2020 consid. 4.2.1; arrêt du Tribunal fédéral 5A_276/2019 du 10 octobre 2019 consid. 6.1 et les références citées). 3.1.2 Dans la méthode du minimum vital avec répartition de l'excédent - "zweistufig-konkrete Methode" ou "zweistufige Methode mit Überschuss- verteilung" - il convient, d'une part, de déterminer les moyens financiers à disposition, à savoir les revenus effectifs ou hypothétiques et, d'autre part,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(arrêt du Tribunal fédéral 5A_311/2019 du 11 novembre 2020, destiné à la publication, consid. 7, traduit par BURGAT, in Entretien de l'enfant, des précisions bienvenues : une méthode (presque) complète et obligatoire pour toute la Suisse; analyse de l'arrêt du Tribunal fédéral 5A_311/2019, Newsletter DroitMatrimonial.ch janvier 2021).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 Lorsque la situation financière le permet, l’entretien convenable doit être étendu au minimum vital du droit de la famille. Chez les parents, cela comprend en sus les impôts, les forfaits pour la télécommunication et les assurances, les frais de formation continue indispensables, les frais de logement réels, les frais d’exercice du droit de visite et un montant adapté pour l’amortissement des dettes. Dans des circonstances favorables, il est encore possible de prendre en compte les primes d’assurances maladie privées et le cas échéant les dépenses de prévoyance à des institutions privées de la part des personnes travaillant à titre indépendant (arrêt du Tribunal fédéral 5A_311/2019 du 11 novembre 2020 précité, consid. 7.2). 3.2.1 En l'espèce, le Tribunal a retenu un salaire moyen de l'intimé de 6'200 fr. par mois, se fondant sur le salaire mensuel réalisé en 2019, appliqué à une période de neuf mois (soit 6'637 fr. x 9 = 59'733 fr.), et sur le salaire réduit pour les trois mois de mars à mai 2020 (5'925 fr. x 3). C'est à raison que l'appelante soutient que ce calcul n'est pas correct. En effet, l'intimé réalise un revenu mensuel net de 6'637 fr. (13ème salaire inclus) auquel</w:t>
      </w:r>
    </w:p>
    <w:p>
      <w:r>
        <w:t>- 8/11 -</w:t>
      </w:r>
    </w:p>
    <w:p>
      <w:r>
        <w:t>C/13372/2020 s'ajoute, depuis 2020, une indemnité mensuelle de 500 fr. pour les frais de véhicule, soit un revenu mensuel de 7'137 fr. Dès lors que le Tribunal a condamné l'intimé à payer la contribution d'entretien à compter du mois de décembre 2020, la réduction temporaire du salaire, au printemps 2020, n'a pas à être prise en considération, l'intimé ne soutenant pas que cette situation ait perduré. D'ailleurs, dans sa réponse à l'appel, l'intimé ne conteste ni le salaire de 6'637 fr. ni le montant de l'indemnité de 500 fr. Aussi, c'est bien un revenu mensuel net de 7'137 fr. qui doit être pris en considération. 3.2.2 Les charges incompressibles de l'intimé se composent de l'entretien de base LP, divisé par deux dès lors qu'il vit en concubinage avec un partenaire disposant de revenus et diminué de 15% en raison du coût de la vie inférieur en France, ce qui n'est pas contesté, soit un montant de 722 fr. 50, du loyer, en 760 fr., et de la prime d'assurance-maladie, de 466 fr. 05, à savoir un total de 1'948 fr. 55. 3.2.3 Les charges incompressibles de l'appelante s'élèvent à 2'366 fr. 80, soit le montant de base OP (1'200 fr.), le loyer (568 fr.) et la prime d'assurance-maladie (598 fr. 80). 3.2.4 Les revenus de l'intimé, de 7'137 fr. suffisent pour couvrir son propre minimum vital (1'948 fr. 55) et celui de son épouse (2'366 fr. 80), laissant un excédent de 2'821 fr. 65, de sorte qu'il se justifie d'intégrer d'autres charges, telles les impôts, les frais de transport, les frais médicaux non couverts et d'autres primes d'assurance. En l'occurrence, il s'agit de tenir compte, pour l'intimé, de sa charge fiscale fixée par le Tribunal à 460 fr. et de ses frais de véhicule privé, à hauteur de 1'200 fr. (montant que l'appelante ne conteste pas), soit des charges arrondies à hauteur de 3'608 fr. (1'948 fr. 55 + 460 fr. + 1'200 fr.). Il est d'autant plus opportun d'admettre les frais de véhicule, qu'il a été tenu compte du défraiement de 500 fr. perçu à ce titre dans les revenus. Pour l'appelante, il convient d'ajouter 25 fr. 75 de prime pour l'assurance-ménage, 107 fr. 25 de frais médicaux non remboursés et 70 fr. de frais de transport, ainsi que les impôts qu'elle devra acquitter sur la contribution d'entretien, de l'ordre de 340 fr. par mois (ICC + IFD selon la calculette de l'AFC pour un revenu annuel de 38'000 fr.), soit des charges totales arrondies de 2'910 fr. (2'366 fr. 80 + 25 fr. 75 + 107 fr. 25 + 70 fr. + 34 fr.). A cet égard, le fait que l'appelante n'ait pas payé d'impôts par le passé ne saurait lui être opposé, dans la mesure où elle était imposée avec son époux qui est le seul à exercer une activité lucrative.</w:t>
      </w:r>
    </w:p>
    <w:p>
      <w:r>
        <w:t>- 9/11 -</w:t>
      </w:r>
    </w:p>
    <w:p>
      <w:r>
        <w:t>C/13372/2020 3.2.5 Une fois ces besoins couverts (7'137 fr. – [3'608 fr. + 2'910 fr.]), il reste à l'intimé un excédent arrondi de 620 fr. (7'137 fr. – 6'518 fr.), qu'il convient de partager équitablement entre les époux, à raison de 310 fr. chacun. Aussi, l'intimé devra verser à l'appelante une contribution d'entretien mensuelle de de 3'220 fr. (2'910 fr. + 310 fr.) arrondie à 3'200 fr. Le chiffre 2 de l'ordonnance attaquée sera donc réformé en ce sens que la contribution d'entretien due à l'épouse s'élève à 3'200 fr. par mois, et ce à compter du 1er décembre 2020, le dies a quo du versement de la contribution d'entretien n'étant pas contesté en appel.</w:t>
      </w:r>
    </w:p>
    <w:p>
      <w:r>
        <w:rPr>
          <w:b/>
        </w:rPr>
        <w:t>E. 4.1</w:t>
      </w:r>
    </w:p>
    <w:p>
      <w:r>
        <w:t>La réformation du jugement entrepris ne commande pas de revoir la décision du Tribunal de partager les frais judiciaires de première instance par moitié, qui n'est pas contestée (art. 318 al. 3 CPC a contrario).</w:t>
      </w:r>
    </w:p>
    <w:p>
      <w:r>
        <w:rPr>
          <w:b/>
        </w:rPr>
        <w:t>E. 4.2</w:t>
      </w:r>
    </w:p>
    <w:p>
      <w:r>
        <w:t>Les frais judiciaires d'appel seront arrêtés à 800 fr. (art. 29, 30 et 35 RTFMC) et mis à la charge des parties pour moitié chacune, vu la nature familiale du litige (art. 107 al. 1 let. c CPC). Ils seront compensés avec l'avance de frais de même montant fournie par l'appelante, qui demeure acquise à l'Etat (art. 111 al. 1 CPC). L'intimé sera condamné à rembourser à l'appelante la moitié de son avance, soit la somme de 400 fr. (art. 111 al. 2 CPC). Pour les mêmes motifs, chaque partie supportera ses propres dépens d'appel (art. 107 al. 1 let. c CPC). * * * * *</w:t>
      </w:r>
    </w:p>
    <w:p>
      <w:r>
        <w:t>- 10/11 -</w:t>
      </w:r>
    </w:p>
    <w:p>
      <w:r>
        <w:t>C/13372/2020 PAR CES MOTIFS, La Chambre civile : A la forme : Déclare recevable l'appel interjeté le 16 décembre 2020 par A______ contre le chiffre 2 de l'ordonnance OTPI/753/2020 rendue le 1er décembre 2020 par le Tribunal de première instance dans la cause C/13372/2020-2. Au fond : Annule le chiffre 2 de l'ordonnance attaquée et, statuant à nouveau sur ce point : Condamne B______ à payer à A______, par mois et d'avance, à compter du 1er décembre 2020, un montant de 3'200 fr. à titre de contribution à son entretien. Confirme l'ordonnance entreprise pour le surplus. Déboute les parties de toutes autres conclusions. Sur les frais : Arrête les frais judiciaires d'appel à 800 fr., les met à la charge des parties pour moitié chacune et les compense avec l'avance de frais de même montant fournie par A______, qui demeure acquise à l'Etat de Genève. Condamne B______ à payer à A______ la somme de 400 fr. Dit que chaque partie supporte ses propres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- 11/11 -</w:t>
      </w:r>
    </w:p>
    <w:p>
      <w:r>
        <w:t>C/13372/2020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