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ACJC/305/2023 vom 27. Februar 2023</w:t>
      </w:r>
    </w:p>
    <w:p>
      <w:r>
        <w:t>GE Cour de justice, 2023-02-27, FR</w:t>
      </w:r>
    </w:p>
    <w:p>
      <w:r>
        <w:rPr>
          <w:b/>
        </w:rPr>
        <w:t xml:space="preserve">Quelle: </w:t>
      </w:r>
      <w:r>
        <w:t>https://mcp.opencaselaw.ch/entscheid/ge_gerichte_ACJC_305_2023</w:t>
      </w:r>
    </w:p>
    <w:p>
      <w:r>
        <w:t>FR: GE_GERICHTE ACJC/305/2023 du 27 février 2023</w:t>
      </w:r>
    </w:p>
    <w:p>
      <w:r>
        <w:t>IT: GE_GERICHTE ACJC/305/2023 del 27 febbraio 2023</w:t>
      </w:r>
    </w:p>
    <w:p>
      <w:pPr>
        <w:pStyle w:val="Heading2"/>
      </w:pPr>
      <w:r>
        <w:t>Erwägungen</w:t>
      </w:r>
    </w:p>
    <w:p>
      <w:r>
        <w:rPr>
          <w:b/>
        </w:rPr>
        <w:t>E. 1.1</w:t>
      </w:r>
    </w:p>
    <w:p>
      <w:r>
        <w:t>Seule la voie du recours est ouverte contre les décisions rendues par le Tribunal de l'exécution (art. 309 let. a et 319 let. a CPC). Déposé selon la forme requise et dans le délai prescrit (art. 130, 131, 142 al. 1 et 321 al. 2 CPC), le recours est en l'espèce recevable.</w:t>
      </w:r>
    </w:p>
    <w:p>
      <w:r>
        <w:rPr>
          <w:b/>
        </w:rPr>
        <w:t>E. 1.2</w:t>
      </w:r>
    </w:p>
    <w:p>
      <w:r>
        <w:t>Dans le cadre d'un recours, l'autorité a un plein pouvoir d'examen en droit, mais un pouvoir limité à l'arbitraire en fait, n'examinant que les griefs formulés et motivés par le recourant (art. 320 CPC; HOHL, Procédure civile, Tome II, 2ème éd., 2010, n. 2307).</w:t>
      </w:r>
    </w:p>
    <w:p>
      <w:r>
        <w:rPr>
          <w:b/>
        </w:rPr>
        <w:t>E. 1.3</w:t>
      </w:r>
    </w:p>
    <w:p>
      <w:r>
        <w:t>La procédure sommaire et la maxime des débats s'appliquent en matière d'exécution (art. 339 al. 2 CPC; cf. JEANDIN, Commentaire romand, Code de procédure civile, 2ème édition, 2019, n. 6 et 6a ad art. 229 CPC).</w:t>
      </w:r>
    </w:p>
    <w:p>
      <w:r>
        <w:rPr>
          <w:b/>
        </w:rPr>
        <w:t>E. 2</w:t>
      </w:r>
    </w:p>
    <w:p>
      <w:r>
        <w:t>Les conclusions, allégations de fait et preuves nouvelles sont irrecevables dans le cadre d'un recours (art. 326 al. 1 CPC). En l'espèce, les pièces produites par le recourant à l'appui de son recours ont été soumises au Tribunal et sont donc recevables, ce qui n'est pas contesté. En revanche, le recours contient certains allégués de fait soulevés pour la première fois devant la Cour, tels que ceux relatifs aux exceptions qui seraient prévues par le Freezing Injunction Order litigieux. Ces allégués sont dès lors irrecevables et n'ont pas été retenus dans l'état de fait ci-dessus. La recevabilité des conclusions subsidiaires du recourant, prises pour la première fois devant la Cour de céans, apparaît douteuse au regard de la disposition susvisée. Il n'est toutefois pas nécessaire d'examiner plus avant cette question, dès lors que les conclusions subsidiaires du recourant seraient en tout état rejetées (cf. consid. 5 ci-dessous).</w:t>
      </w:r>
    </w:p>
    <w:p>
      <w:r>
        <w:rPr>
          <w:b/>
        </w:rPr>
        <w:t>E. 3</w:t>
      </w:r>
    </w:p>
    <w:p>
      <w:r>
        <w:t>Le recourant invoque tout d'abord une violation de son droit d'être entendu, au motif qu'il n'aurait pas été en mesure de se déterminer sur les écritures et pièces complémentaires produites par l'intimée avant l'audience tenue par le Tribunal.</w:t>
      </w:r>
    </w:p>
    <w:p>
      <w:r>
        <w:rPr>
          <w:b/>
        </w:rPr>
        <w:t>E. 3.1</w:t>
      </w:r>
    </w:p>
    <w:p>
      <w:r>
        <w:t>Compris comme l'un des aspects de la notion générale de procès équitable au sens de l'art. 29 Cst., le droit d'être entendu garantit notamment au justiciable le droit de s'expliquer avant qu'une décision ne soit prise à son détriment, de prendre</w:t>
      </w:r>
    </w:p>
    <w:p>
      <w:r>
        <w:t>- 6/12 -</w:t>
      </w:r>
    </w:p>
    <w:p>
      <w:r>
        <w:t>C/15884/2022 connaissance de toute argumentation présentée au tribunal et de se déterminer à son propos, dans la mesure où il l'estime nécessaire, que celle-ci contienne ou non de nouveaux éléments de fait ou de droit, et qu'elle soit ou non concrètement susceptible d'influer sur la décision à rendre (arrêt du Tribunal fédéral 8D_7/2021 du 5 septembre 2022 consid. 2.1; ATF 146 III 97 consid. 3.4.1; 142 III 48 consid. 4.1.1). Toute prise de position ou pièce nouvelle versée au dossier doit dès lors être communiquée aux parties pour leur permettre de décider si elles veulent ou non faire usage de leur faculté de se déterminer (ATF 139 I 189 consid. 3.2). Pour que le droit de réplique soit garanti, il faut que le tribunal laisse un laps de temps suffisant à la partie concernée, entre la remise de la prise de position ou des pièces nouvelles et le prononcé de sa décision, pour qu'elle ait la possibilité de déposer des observations si elle l'estime nécessaire à la défense de ses intérêts (ATF 142 III 48 consid. 4.1.1). Le droit d'être entendu est une garantie de nature formelle, dont la violation entraîne en principe l'annulation de la décision attaquée, indépendamment des chances de succès du recours sur le fond. Selon la jurisprudence, sa violation peut cependant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w:t>
      </w:r>
    </w:p>
    <w:p>
      <w:r>
        <w:rPr>
          <w:b/>
        </w:rPr>
        <w:t>E. 3.2</w:t>
      </w:r>
    </w:p>
    <w:p>
      <w:r>
        <w:t>La procédure sommaire est introduite par une requête (art. 252 al. 1 CPC). Lorsque la requête ne paraît pas manifestement irrecevable ou infondée, le tribunal donne à la partie adverse l'occasion de se déterminer oralement ou par écrit (art. 253 CPC). La réponse doit être transmise au requérant. Celui-ci a la possibilité de prendre position sur les arguments du défendeur en vertu de son droit de réplique, qui découle des art. 6 par. 1 CEDH et 29 al. 2 Cst. (ATF 144 III 117 consid. 1; BOHNET, Commentaire romand, Code de procédure civile, 2ème édition, 2019, n. 9 ad art. 253 CPC). Dans la procédure sommaire, aucune des parties ne doit cependant s'attendre à ce que le tribunal ordonne un deuxième échange d'écritures ou des débats oraux après une première audition. Dans cette mesure, les parties n'ont pas le droit de s'exprimer deux fois sur le fond. En principe, la clôture du dossier intervient après une seule prise de position (ATF 144 III 117 consid. 2.2, avec réf.).</w:t>
      </w:r>
    </w:p>
    <w:p>
      <w:r>
        <w:t>- 7/12 -</w:t>
      </w:r>
    </w:p>
    <w:p>
      <w:r>
        <w:t>C/15884/2022 Il s'ensuit que, la partie requérante doit proposer toutes ses preuves avec sa requête (BOHNET, op. cit., n. 9 ad art. 252 CPC). Ce n'est que si une audience a lieu après un premier échange d'écritures ou si un second échange d'écritures est ordonné que le Tribunal fédéral et certains auteurs admettent que des faits nouveaux et des offres de preuve nouvelle peuvent encore être introduits au début des débats principaux, par application analogique de l'art. 229 CPC (ATF 144 III 117 consid. 2.2 ; BOHNET, ibid.).</w:t>
      </w:r>
    </w:p>
    <w:p>
      <w:r>
        <w:rPr>
          <w:b/>
        </w:rPr>
        <w:t>E. 3.3</w:t>
      </w:r>
    </w:p>
    <w:p>
      <w:r>
        <w:t>En l'espèce, il est constant que le "mémoire complémentaire sur mesures conservatoires" spontanément produit par l'intimée le 27 octobre 2022 et les pièces accompagnant cette écriture n'ont été portés à la connaissance du recourant que le 2 novembre 2022, soit deux jours avant l'audience tenue le 4 novembre 2022. Bien qu'il soit assisté d'un conseil genevois, on peut effectivement douter que le recourant ait été en mesure de se déterminer adéquatement sur ces éléments nouveaux lors de l'audience susvisée, à l'issue de laquelle le Tribunal a gardé la cause à juger. Cela étant, il est également établi que ces écritures et pièces complémentaires ont été produites par l'intimée, requérante sur mesures conservatoires, avant que le recourant n'ait pu se déterminer sur sa requête, soit avant l'audience fixée par le Tribunal à cette fin en application de l'art. 253 CPC. Ces écritures ne venaient donc pas consacrer l'exercice d'un quelconque droit de réplique, au sens des principes rappelés ci-dessus. Elles ne s'inscrivaient pas non plus dans le cadre d'un second échange d'écritures ordonné par le Tribunal. Contrevenant à la limitation des parties à une seule prise de position sur le fond (sauf disposition contraire du Tribunal non réalisée en l'espèce), ces déterminations et pièces n'étaient pas recevables et ne devaient pas être prises en considération. En n'accordant pas au recourant un délai supplémentaire pour se déterminer à leur sujet, le Tribunal n'a dès lors pas violé son droit d'être entendu, étant précisé que le premier juge n'en a à l'évidence pas tenu compte pour fonder sa décision. A teneur du jugement entrepris, le Tribunal s'est en effet fondé sur les déclarations des parties à l'audience du 4 novembre 2022, en particulier sur les déclarations de la Banque et du recourant lui-même, pour conclure à la nécessité d'ordonner les mesures conservatoires litigieuses. Il ne s'est pas non plus appuyé sur la pièce complémentaire produite par l'intimée à l'audience susvisée pour retenir que les juridictions anglaises auraient admis leur compétence pour prononcer le divorce, se contentant de relever que lesdites juridictions n'avaient pour l'heure pas décliné leur compétence, ce qu'il pouvait affirmer au vu des seules pièces initialement produites. Au surplus, le recourant n'indique pas, ni ne démontre, quels seraient les éléments tirés des déterminations et pièces complémentaires qui auraient été pris en compte par le Tribunal, sans qu'il ait pu se déterminer à ce sujet. Il ne soutient pas non plus que la prise en compte de ces documents ou de ses déterminations sur lesdits documents auraient amené le Tribunal à statuer dans un sens différent.</w:t>
      </w:r>
    </w:p>
    <w:p>
      <w:r>
        <w:t>- 8/12 -</w:t>
      </w:r>
    </w:p>
    <w:p>
      <w:r>
        <w:t>C/15884/2022 Il s'ensuit que le moyen tiré de l'éventuelle violation du droit d'être entendu du recourant doit être écarté.</w:t>
      </w:r>
    </w:p>
    <w:p>
      <w:r>
        <w:rPr>
          <w:b/>
        </w:rPr>
        <w:t>E. 4</w:t>
      </w:r>
    </w:p>
    <w:p>
      <w:r>
        <w:t>Sur le fond, le recourant reproche au Tribunal d'avoir considéré qu'il était nécessaire d'ordonner le blocage du compte dont il est titulaire auprès de la Banque avant de statuer sur l'exequatur du Freezing Injunction Order prononcé par les tribunaux britanniques.</w:t>
      </w:r>
    </w:p>
    <w:p>
      <w:r>
        <w:rPr>
          <w:b/>
        </w:rPr>
        <w:t>E. 4.1</w:t>
      </w:r>
    </w:p>
    <w:p>
      <w:r>
        <w:t>En vertu de l'art. 340 CPC, le tribunal de l'exécution peut ordonner des mesures conservatoires, si nécessaire sans entendre préalablement la partie adverse. Ces mesures conservatoires s'apparentent à des mesures provisionnelles (art. 261 CPC), mais elles ne doivent servir qu'à éviter que la partie contre laquelle est dirigée la requête d'exécution ne commette des actes de disposition ou de toute autre nature propres à rendre vaine l'exécution requise; le juge jouit d'un large pouvoir d'appréciation à l'égard des mesures conservatoires qu'il peut ordonner, d'office ou sur requête (JEANDIN, op. cit., n. 1 à 3 ad art. 340 CPC). La doctrine est divisée sur la question de savoir si les mesures conservatoires prises par le Tribunal de l'exécution le sont en application de l'art. 340 CPC, ou si elles sont soumises aux conditions prévalant en mesures provisionnelles des art. 261ss CPC. En effet, une partie de celle-ci considère que les mesures conservatoires ne sont pas soumises aux conditions prévues aux art. 261 et 265 CPC à propos des mesures (super)provisionnelles, même si les critères prévus par ces dispositions (risque de survenance d'un préjudice difficilement réparable, urgence particulière) peuvent inspirer le tribunal de l'exécution statuant à propos de mesures conservatoires (JEANDIN, op. cit., n. 2 ad art. 340 CPC; DROESE, Basler Kommentar ZPO, n. 5 et 9 ad art. 340 CPC).</w:t>
      </w:r>
    </w:p>
    <w:p>
      <w:r>
        <w:rPr>
          <w:b/>
        </w:rPr>
        <w:t>E. 4.2</w:t>
      </w:r>
    </w:p>
    <w:p>
      <w:r>
        <w:t>En l'espèce, le recourant conteste la nécessité d'ordonner le blocage du compte litigieux, au motif que l'état dudit compte et les circonstances n'auraient pas varié depuis le moment où le Tribunal a refusé d'ordonner le blocage dudit compte à titre superprovisionnel. Outre que les allégations du recourant relatives à la stabilité des avoirs en compte ne sont pas rendues vraisemblables, notamment par titres, la Cour constate cependant, comme le Tribunal, que le recourant a depuis lors reconnu, par le biais de son représentant à l'audience du 4 novembre 2022, qu'il envisageait de régler une dette fiscale au moyen des avoirs disponibles sur le compte concerné, dont les montant étaient similaires. A défaut des mesures conservatoires requises, il existe donc un risque que l'exécution de la décision rendue par les tribunaux anglais soit rendue vaine, si un tel paiement était opéré. Les allégations du recourant selon lesquelles la dette fiscale concernée serait conjointe aux deux époux, de sorte que l'intimée ne subirait pas de préjudice du fait de son règlement, ne sont pas</w:t>
      </w:r>
    </w:p>
    <w:p>
      <w:r>
        <w:t>- 9/12 -</w:t>
      </w:r>
    </w:p>
    <w:p>
      <w:r>
        <w:t>C/15884/2022 davantage rendues vraisemblables et sont expressément contestées par l'intimée, qui soutient qu'il s'agit d'une amende ou d'un redressement à la charge du seul recourant. Pour ces motifs déjà, c'est à bon droit que le Tribunal a fait droit aux mesures conservatoires requises. Contrairement à ce que soutient le recourant, on ne saurait par ailleurs faire grief au premier juge d'avoir considéré que la Banque serait disposée à donner suite à d'éventuelles instructions de paiement du recourant. S'il n'est certes pas établi, ni même rendu vraisemblable, que des échanges ont effectivement eu lieu entre le recourant et la Banque en vue de transférer tout ou partie des avoirs en compte, un représentant de la banque a néanmoins reconnu devant le Tribunal que celle-ci s'estimait tenue de suivre les instructions qui lui seraient éventuellement données par son client, si une décision de blocage n'était pas prononcée par une autorité suisse. De même, c'est sans arbitraire que le Tribunal a retenu que les juridictions anglaises à l'origine de la décision dont la reconnaissance est requise n'avaient pour l'heure pas décliné leur compétence, puisque le contraire n'est pas rendu vraisemblable. Le seul fait que des tribunaux espagnols aient pu également se saisir du litige, comme le soutient le recourant, ne change rien à ce qui précède, étant précisé que la compétence desdits tribunaux n'apparaît pas nécessairement exclusive de celle de leurs homologues anglais et que leur saisine n'apparaît en tous les cas pas antérieure à celle des juges britanniques. Pour ces motifs également, le Tribunal n'a pas erré en prononçant les mesures conservatoires requises. Partant, le recours n'est pas fondé s'agissant des conclusions principales tendant à la levée desdites mesures.</w:t>
      </w:r>
    </w:p>
    <w:p>
      <w:r>
        <w:rPr>
          <w:b/>
        </w:rPr>
        <w:t>E. 5</w:t>
      </w:r>
    </w:p>
    <w:p>
      <w:r>
        <w:t>Subsidiairement, le recourant conclut à ce que le jugement entrepris soit complété en vue de lui permettre de prélever une somme hebdomadaire de 2'000.- GBP sur le compte litigieux pour assurer son entretien, ainsi que diverses sommes pour assurer sa défense et subvenir à l'entretien de sa famille. Comme relevé ci-dessus, les allégations du recourant selon lesquelles le Freezing Injunction Order à exécuter prévoirait des exceptions au blocage ordonné, notamment à hauteur de 2'000.- GBP par semaine, sont cependant irrecevables à ce stade et, partant, ne peuvent être tenues pour vraisemblables. Il n'est pas non plus rendu vraisemblable que de telles exceptions viseraient particulièrement le compte bancaire litigieux, étant observé que l'injonction des juges anglais porte également sur un certain nombre d'autres actifs potentiellement soumis au même régime. Il n'y a dès lors pas lieu, au stade des mesures conservatoires, de contourner partiellement cette injonction. Le recourant n'établit par ailleurs pas par titre qu'il aurait prélevé de quelconques sommes sur le compte en question pour assurer sa défense, son entretien ou celui de sa famille depuis l'introduction</w:t>
      </w:r>
    </w:p>
    <w:p>
      <w:r>
        <w:t>- 10/12 -</w:t>
      </w:r>
    </w:p>
    <w:p>
      <w:r>
        <w:t>C/15884/2022 du procès en divorce; il conteste au contraire avoir retiré tout ou partie des avoirs en compte depuis lors. Le recourant échoue dès lors également à rendre vraisemblable que la disposition du compte litigieux auprès de la Banque lui serait réellement nécessaire aux fins indiquées. Pour ces motifs, le recours n'est pas davantage fondé dans ses conclusions subsidiaires. Le recours sera intégralement rejeté.</w:t>
      </w:r>
    </w:p>
    <w:p>
      <w:r>
        <w:rPr>
          <w:b/>
        </w:rPr>
        <w:t>E. 6</w:t>
      </w:r>
    </w:p>
    <w:p>
      <w:r>
        <w:t>Les frais judiciaires du recours, comprenant le solde des frais de la décision rendue sur effet suspensif, seront arrêtés à 1'500 fr. (art. 13, 26 et 37 RTFMC) et mis à la charge du recourant, qui succombe (art. 105 al. 1, art. 106 al. 1 CPC). Ils seront compensés avec l'avance de frais de même montant fournie par celui-ci, qui demeure acquise à l'Etat (art. 111 al. 1 CPC). Le recourant sera condamné à verser 2'000 fr. à l'intimée à titre de dépens de recours (art. 105 al. 2 CPC; art. 84, 85, 87, 88 et 90 RTFMC), débours compris (art. 25 LaCC), sans TVA compte tenu du domicile de celle-ci à l'étranger (ATF 141 IV 344 consid. 4.1), ainsi que 200 fr. à la Banque, qui s'en est rapportée à justice (art. 23 LaCC), débours et TVA compris (art. 25 et 26 LaCC). * * * * *</w:t>
      </w:r>
    </w:p>
    <w:p>
      <w:r>
        <w:t>- 11/12 -</w:t>
      </w:r>
    </w:p>
    <w:p>
      <w:r>
        <w:t>C/15884/2022 PAR CES MOTIFS, La Chambre civile : A la forme : Déclare recevable le recours interjeté le 25 novembre 2022 par A______ contre le jugement JTPI/13252/2022 rendu le 8 novembre 2022 par le Tribunal de première instance dans la cause C/15884/2022–12. Au fond : Rejette ce recours. Déboute les parties de toutes autres conclusions. Sur les frais : Arrête les frais judiciaires du recours à 1'500 fr., les met à la charge de A______ et les compense avec l'avance de frais de même montant fournie par celui-ci, qui demeure acquise à l'Etat de Genève. Condamne A______ à payer à B______ 2'000 fr. à titre de dépens de recours. Condamne A______ à payer à C______ 200 fr. à titre de dépens de recours. Siégeant : Madame Pauline ERARD, présidente; Madame Sylvie DROIN, Madame Nathalie LANDRY-BARTHE, juges; Madame Mélanie DE RESENDE PEREIRA, greffière.</w:t>
      </w:r>
    </w:p>
    <w:p>
      <w:r>
        <w:t>La présidente : Pauline ERARD</w:t>
      </w:r>
    </w:p>
    <w:p>
      <w:r>
        <w:t>La greffière : Mélanie DE RESENDE PEREIRA</w:t>
      </w:r>
    </w:p>
    <w:p>
      <w:r>
        <w:t>- 12/12 -</w:t>
      </w:r>
    </w:p>
    <w:p>
      <w:r>
        <w:t>C/15884/2022</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