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ACJC/302/2022 vom 7. März 2022</w:t>
      </w:r>
    </w:p>
    <w:p>
      <w:r>
        <w:t>GE Cour de justice, 2022-03-07, FR</w:t>
      </w:r>
    </w:p>
    <w:p>
      <w:r>
        <w:rPr>
          <w:b/>
        </w:rPr>
        <w:t xml:space="preserve">Quelle: </w:t>
      </w:r>
      <w:r>
        <w:t>https://mcp.opencaselaw.ch/entscheid/ge_gerichte_ACJC_302_2022</w:t>
      </w:r>
    </w:p>
    <w:p>
      <w:r>
        <w:t>FR: GE_GERICHTE ACJC/302/2022 du 7 mars 2022</w:t>
      </w:r>
    </w:p>
    <w:p>
      <w:r>
        <w:t>IT: GE_GERICHTE ACJC/302/2022 del 7 marzo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La valeur litigieuse est déterminée par les dernières conclusions de première instance (art. 91 al. 1 CPC; JEANDIN, Commentaire Romand, Code de procédure civile 2ème éd., 2019, n. 13 ad art. 308 CPC; arrêt du Tribunal fédéral 4A_594/2012 du 28 février 2013). Selon la jurisprudence constante du Tribunal fédéral, les contestations portant sur l'usage d'une chose louée sont de nature pécuniaire (arrêt du Tribunal fédéral 4A_388/2016 du 15 mars 2017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w:t>
      </w:r>
    </w:p>
    <w:p>
      <w:r>
        <w:rPr>
          <w:b/>
        </w:rPr>
        <w:t>E. 1.2</w:t>
      </w:r>
    </w:p>
    <w:p>
      <w:r>
        <w:t>En l'espèce, compte tenu du montant du loyer et des conclusions en paiement, la valeur litigieuse est supérieure à 10'000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Il convient de relever d'office que le jugement attaqué est affecté d'un vice de procédure. En effet, le jugement querellé a été notifié à E______, dans la même enveloppe que celle destinée à F______, à l'adresse du conseil de ce dernier. La</w:t>
      </w:r>
    </w:p>
    <w:p>
      <w:r>
        <w:t>- 6/8 -</w:t>
      </w:r>
    </w:p>
    <w:p>
      <w:r>
        <w:t>C/19564/2021 citation de E______ à l'audience du Tribunal a été adressée au conseil de son époux.</w:t>
      </w:r>
    </w:p>
    <w:p>
      <w:r>
        <w:rPr>
          <w:b/>
        </w:rPr>
        <w:t>E. 2.1</w:t>
      </w:r>
    </w:p>
    <w:p>
      <w:r>
        <w:t>Le tribunal doit donner à la partie citée l'occasion de se déterminer oralement ou par écrit (art. 253 CPC). S'il décide de citer les parties à une audience, il le fait en conformité des art. 133 ss CPC. Le droit d'être entendu protégé par l'art. 29 al. 2 Cst. comprend notamment le droit d'être cité régulièrement aux débats. Cette garantie a pour but d'assurer à chaque partie le droit de ne pas être condamnée sans avoir été mise en mesure de défendre ses intérêts (ATF 131 I 185 consid. 2.1; 117 Ib 347 consid. 2b/bb).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arrêt du Tribunal fédéral 5A_466/2012 du</w:t>
      </w:r>
    </w:p>
    <w:p>
      <w:r>
        <w:rPr>
          <w:b/>
        </w:rPr>
        <w:t>E. 2.2</w:t>
      </w:r>
    </w:p>
    <w:p>
      <w:r>
        <w:t>Les jugements nuls sont dépourvus de tout effet juridique (ATF 129 I 361 consid. 2.3; ZINGG, in Berner Kommentar I, 2012, n. 98 ad art. 59 CPC; BOHNET, Commentaire romand, Code de procédure civil, 2ème éd 2019, n. 106 ad art. 59 CPC). La nullité d'un jugement ne peut être retenue qu'à titre exceptionnel, lorsqu'il est entaché de vices particulièrement graves qui doivent être manifestes ou aisément reconnaissables, et pour autant que la sécurité juridique ne soit pas sérieusement compromise. Des vices de fond n'entraînent qu'à de rares exceptions la nullité d'une décision. Les principaux motifs de nullité résident dans l'incompétence d'une autorité ou dans des violations crasses de règles procédurales (ATF 138 II 501 consid. 3.1; 137 I 273 consid. 3.1). Les violations du droit d'être entendu sont en soi guérissables et n'entraînent en principe que l'annulabilité de la décision viciée. La nullité doit cependant être retenue en cas d'atteinte spécialement grave aux droits essentiels des parties (ATF 129 I 361 consid. 2.1; arrêt du Tribunal fédéral 4A_141/2015 du 25 juin 2015 consid. 3 et les arrêts cités). Le fait d'utiliser la voie édictale alors que ses conditions ne sont pas réalisées constitue un motif de nullité (ATF 129 I 361 consid. 2.2; 136 III 571 consid. 6.3), tout comme l'absence de notification d'une décision : tant qu'un jugement n'a pas été communiqué, il est inexistant et n'entre pas en force (ATF 141 I 97 consid. 7.1; arrêt du Tribunal fédéral 4A_224/2017 du 27 juin 2017 consid. 2.3.2). L'absence de notification doit être distinguée de la notification irrégulière, laquelle ne constitue pas nécessairement une cause de nullité; la protection des parties est suffisamment réalisée lorsque la notification irrégulière atteint son but malgré cette irrégularité. Il convient donc d'examiner, d'après les circonstances du cas</w:t>
      </w:r>
    </w:p>
    <w:p>
      <w:r>
        <w:t>- 7/8 -</w:t>
      </w:r>
    </w:p>
    <w:p>
      <w:r>
        <w:t>C/19564/2021 concret, si la partie intéressée a réellement été induite en erreur par l'irrégularité de la notification et a, de ce fait, subi un préjudice. Il s'impose de s'en tenir aux règles de la bonne foi, qui imposent une limite à l'invocation d'un vice de forme (ATF 122 I 97 consid. 3a; arrêt du Tribunal fédéral 4A_224/2017 précité, ibid).</w:t>
      </w:r>
    </w:p>
    <w:p>
      <w:r>
        <w:rPr>
          <w:b/>
        </w:rPr>
        <w:t>E. 2.3</w:t>
      </w:r>
    </w:p>
    <w:p>
      <w:r>
        <w:t>En l'espèce, en raison de la mention, sur la requête en évacuation formée par la bailleresse, de ce que E______ et son époux étaient représentés par le même conseil, la citation à comparaître à l'audience du Tribunal a été adressée, dans le même pli, à l'étude dudit conseil. Il n'apparaît pas que celui-ci ait réagi à réception de cette convocation pour informer le Tribunal de son absence de constitution pour E______; c'est seulement à l'audience du Tribunal du 23 novembre 2021 qu'il a déposé une procuration en sa faveur établie par F______ seul, sans se prononcer spontanément sur la question à propos du sort réservé à la convocation de E______. Il apparaît ainsi que les premiers juges auraient dû constater que la précitée n'avait pas été valablement citée. On ignore par ailleurs sur la base de quel élément le Tribunal a consigné au procès-verbal que l'intimée aurait été excusée à l'audience. E______ a ainsi été privée de la possibilité de défendre ses intérêts, notamment de contester l'état de fait ou d'opposer à l'action des objections ou exceptions pouvant conduire à l'irrecevabilité de la requête en protection du cas clair. De surcroît, alors que le Tribunal avait dans son dossier une procuration émanant de F______ en faveur de Me PATEK, il a notifié l'exemplaire du jugement destiné à E______, sans au demeurant entraîner de protestation de la part de l'étude. Il s'ensuit que le jugement n'a pas été notifié à la précitée. Le droit d'être entendu de la précitée ayant été violé et le vice procédural étant particulièrement grave, le jugement attaqué sera annulé et la cause sera renvoyée au Tribunal pour qu'il donne à l'intéressée l'occasion de se déterminer par écrit ou oralement conformément à l'art. 253 CPC, puis rende une nouvelle décision. 3. La procédure est gratuite (art. 22 al. 1 LaCC; ATF 139 III 182 consid. 2.6). * * * * *</w:t>
      </w:r>
    </w:p>
    <w:p>
      <w:r>
        <w:t>- 8/8 -</w:t>
      </w:r>
    </w:p>
    <w:p>
      <w:r>
        <w:t>C/19564/2021 PAR CES MOTIFS, La Chambre des baux et loyers : A la forme : Déclare recevable l'appel interjeté le 10 décembre 2021 par A______ et B______ contre le jugement JTBL/991/2021 rendu le 23 novembre 2021 par le Tribunal des baux et loyers dans la cause C/19564/2021-7-SD. Au fond : Annule ce jugement. Renvoie la cause au Tribunal pour instruction et nouvelle décision au sens des considérants. Dit que la procédure est gratuite.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4</w:t>
      </w:r>
    </w:p>
    <w:p>
      <w:r>
        <w:t>septembre 2012 consid.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