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ACJC/29/2020 vom 13. Januar 2020</w:t>
      </w:r>
    </w:p>
    <w:p>
      <w:r>
        <w:t>GE Cour de justice, 2020-01-13, FR</w:t>
      </w:r>
    </w:p>
    <w:p>
      <w:r>
        <w:rPr>
          <w:b/>
        </w:rPr>
        <w:t xml:space="preserve">Quelle: </w:t>
      </w:r>
      <w:r>
        <w:t>https://mcp.opencaselaw.ch/entscheid/ge_gerichte_ACJC_29_2020</w:t>
      </w:r>
    </w:p>
    <w:p>
      <w:r>
        <w:t>FR: GE_GERICHTE ACJC/29/2020 du 13 janvier 2020</w:t>
      </w:r>
    </w:p>
    <w:p>
      <w:r>
        <w:t>IT: GE_GERICHTE ACJC/29/2020 del 13 gennaio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t>- 5/7 -</w:t>
      </w:r>
    </w:p>
    <w:p>
      <w:r>
        <w:t>C/7400/2019 En l'occurrence, la valeur litigieuse est d'au moins 16'261 fr. La voie de l'appel est ainsi ouverte, s'agissant du prononcé de l'évacuation et de la condamnation à verser une somme d'argent. En revanche, contre la décision relative à l'exécution de l'évacuation, seule la voie du recours est ouverte (art. 309 let. a CPC).</w:t>
      </w:r>
    </w:p>
    <w:p>
      <w:r>
        <w:rPr>
          <w:b/>
        </w:rPr>
        <w:t>E. 1.2</w:t>
      </w:r>
    </w:p>
    <w:p>
      <w:r>
        <w:t>Le recours, écrit et motivé, doit être déposé dans un délai de 10 jours à compter de la notification du jugement (art. 321 al. 1 et 2 CPC), le Tribunal ayant rendu sa décision en procédure sommaire (art. 257 al. 2 CPC).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in JdT 2014 II 187/SJ 2012 I 373).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w:t>
      </w:r>
    </w:p>
    <w:p>
      <w:r>
        <w:t>- 6/7 -</w:t>
      </w:r>
    </w:p>
    <w:p>
      <w:r>
        <w:t>C/7400/2019 En outre,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En l'espèce, l'appelant, agissant en personne, a adressé au Tribunal un courrier demandant l'annulation du jugement, en alléguant des faits nouveaux, lesquels sont irrecevables devant la Cour (arrêts du Tribunal fédéral 4A_420/2012 du 7 novembre 2012 consid. 5; 4A_312/2013 du 17 octobre 2013 consid. 3.2). L'on comprend qu'il conteste la décision prise par le Tribunal. Cependant, le locataire ne critique pas la motivation des premiers juges concernant le prononcé de l'évacuation ou les mesures d'exécution ordonnées. L'acte ne comporte pas non plus de critique sur le montant des loyers et frais accessoires dus, ni sur son paiement, ni sur aucune des conditions permettant de résilier le bail et de requérir l'évacuation. Par conséquent, l'acte du 11 juillet 2019 a certes été déposé dans le délai légal mais sa motivation ne répond pas aux exigences rappelées ci-avant, même interprétées avec indulgence, s'agissant d'un acte émanant d'un justiciable agissant en personne. L'appel et le recours seront en conséquence déclarés irrecevables, faute de motivation suffisante.</w:t>
      </w:r>
    </w:p>
    <w:p>
      <w:r>
        <w:rPr>
          <w:b/>
        </w:rPr>
        <w:t>E. 2</w:t>
      </w:r>
    </w:p>
    <w:p>
      <w:r>
        <w:t>En application de l'art. 22 al. 1 LaCC, il ne sera pas perçu de frais judiciaires et il ne sera pas alloué de dépens. * * * * *</w:t>
      </w:r>
    </w:p>
    <w:p>
      <w:r>
        <w:t>- 7/7 -</w:t>
      </w:r>
    </w:p>
    <w:p>
      <w:r>
        <w:t>C/7400/2019 PAR CES MOTIFS, La Chambre des baux et loyers :</w:t>
      </w:r>
    </w:p>
    <w:p>
      <w:r>
        <w:t>Déclare irrecevable l'appel interjeté le 10 juillet 2019 par A______ contre le jugement JTBL/661/2019 rendu le 1er juillet 2019 par le Tribunal des baux et loyers dans la cause C/7400/2019-7-SE.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