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ACJC/298/2015 vom 15. Dezember 2014</w:t>
      </w:r>
    </w:p>
    <w:p>
      <w:r>
        <w:t>GE Cour de justice, 2014-12-15, FR</w:t>
      </w:r>
    </w:p>
    <w:p>
      <w:r>
        <w:rPr>
          <w:b/>
        </w:rPr>
        <w:t xml:space="preserve">Quelle: </w:t>
      </w:r>
      <w:r>
        <w:t>https://mcp.opencaselaw.ch/entscheid/ge_gerichte_ACJC_298_2015</w:t>
      </w:r>
    </w:p>
    <w:p>
      <w:r>
        <w:t>FR: GE_GERICHTE ACJC/298/2015 du 15 décembre 2014</w:t>
      </w:r>
    </w:p>
    <w:p>
      <w:r>
        <w:t>IT: GE_GERICHTE ACJC/298/2015 del 15 dicembre 2014</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w:t>
      </w:r>
    </w:p>
    <w:p>
      <w:r>
        <w:t>- 3/6 -</w:t>
      </w:r>
    </w:p>
    <w:p>
      <w:r>
        <w:t>C/11385/2014 BOHNET/HALDY/JEANDIN/SCHWEIZER/TAPPY [éd.], 2011, n. 4 et 11 ad art. 103 CPC).</w:t>
      </w:r>
    </w:p>
    <w:p>
      <w:r>
        <w:t>Interjeté dans le délai de dix jours requis (art. 142 al. 1 et 145 al. 1 let. c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La recourante invoque, en premier lieu, la violation de l'art. 53 al. 1 CPC en ce que la décision entreprise ne serait pas suffisamment motivée.</w:t>
      </w:r>
    </w:p>
    <w:p>
      <w:r>
        <w:rPr>
          <w:b/>
        </w:rPr>
        <w:t>E. 2.1</w:t>
      </w:r>
    </w:p>
    <w:p>
      <w:r>
        <w:t>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BOHNET/HALDY/JEANDIN/SCHWEIZER/TAPPY [éd.], 2011, n. 14b ad art. 53 CPC).</w:t>
      </w:r>
    </w:p>
    <w:p>
      <w:r>
        <w:rPr>
          <w:b/>
        </w:rPr>
        <w:t>E. 2.2</w:t>
      </w:r>
    </w:p>
    <w:p>
      <w:r>
        <w:t>En l'espèce, la décision d'avance de frais querellée se réfère à la valeur litigieuse ainsi qu'aux art. 91ss, 98 et 101 al. 1 CPC et aux art. 2, 13 et 17 du RTFMC. Bien que cette décision soit ainsi succinctement motivée, on comprend que la Présidente du Tribunal s'est fondée sur la valeur litigieuse et le tarif qui lui est applicable. Ainsi, même brève, cette motivation est suffisante en ce qu'elle permet de comprendre les motifs sur lesquels la décision est fondée.</w:t>
      </w:r>
    </w:p>
    <w:p>
      <w:r>
        <w:t>Dans ses observations, la Présidente du Tribunal a confirmé que l'avance de frais avait été calculée en tenant compte de la valeur litigieuse ainsi que de la pluralité de défendeurs. Elle a exposé qu'à ce stade de la procédure, rien ne permettait d'admettre que celle-ci serait courte et dénuée de complexité. Au surplus, elle a souligné que le montant de l'avance de frais litigieuse se trouvait dans la fourchette de l'émolument de décision prévisible dans l'abstrait selon l'art. 17 RTFMC.</w:t>
      </w:r>
    </w:p>
    <w:p>
      <w:r>
        <w:t>Au vu de ce qui précède, le premier grief est donc mal fondé.</w:t>
      </w:r>
    </w:p>
    <w:p>
      <w:r>
        <w:t>- 4/6 -</w:t>
      </w:r>
    </w:p>
    <w:p>
      <w:r>
        <w:t>C/11385/2014</w:t>
      </w:r>
    </w:p>
    <w:p>
      <w:r>
        <w:rPr>
          <w:b/>
        </w:rPr>
        <w:t>E. 3</w:t>
      </w:r>
    </w:p>
    <w:p>
      <w:r>
        <w:t>Dans ses autres griefs, la recourante fait valoir une double violation de l'art. 5 RTFMC, en ce que le greffe aurait appliqué "mécaniquement" un tarif interne au Tribunal fixant l'avance de frais en fonction de la seule valeur litigieuse. Le Tribunal aurait ainsi violé l'art. 5 RTFMC en ne prenant pas en compte les différents critères d'appréciation énoncés par celui-ci. La recourante expose encore que dans les causes pécuniaires d'une valeur litigieuse comprise entre 1'000'000 fr. et 10'000'000 fr., une avance de frais s'élevant entre 20'000 fr. et 100'000 fr. peut être perçue. En tenant compte de la valeur litigieuse de 1'491'000 fr. et en appliquant une règle de trois majorée de 20%, le résultat donnerait un montant moindre que celui retenu par le Tribunal.</w:t>
      </w:r>
    </w:p>
    <w:p>
      <w:r>
        <w:rPr>
          <w:b/>
        </w:rPr>
        <w:t>E. 3.1</w:t>
      </w:r>
    </w:p>
    <w:p>
      <w:r>
        <w:t>Selon l'art. 98 CPC, le tribunal peut exiger du demandeur une avance à concurrence de la totalité des frais judiciaires présumés.</w:t>
      </w:r>
    </w:p>
    <w:p>
      <w:r>
        <w:t>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(ACJC/278/2014 du 25 février 2014; ACJC/208/2014 du 13 février 2014; TAPPY, op. cit., n. 8 ad art. 98 CPC).</w:t>
      </w:r>
    </w:p>
    <w:p>
      <w:r>
        <w:t>Par ailleurs, le canton a la compétence exclusive d'édicter un tarif des frais judiciaires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w:t>
      </w:r>
    </w:p>
    <w:p>
      <w:r>
        <w:t>L'art. 5 RTFMC reprend les principes généraux énoncés à l'art. 19 al. 3 LaCC. En cas de pluralité de demandeurs ou de défendeurs, les émoluments sont majorés de 20% (art. 13 RTFMC). Pour une valeur litigieuse comprise entre 1'000'000 fr. et 10'000'000 fr., une avance de frais allant de 20'000 fr. à 100'000 fr. peut être demandée (art. 17 RTFMC).</w:t>
      </w:r>
    </w:p>
    <w:p>
      <w:r>
        <w:t>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(ACJC/204/2014 du 6 février 2014; ACJC/1777/2012 du 3 décembre 2012).</w:t>
      </w:r>
    </w:p>
    <w:p>
      <w:r>
        <w:t>- 5/6 -</w:t>
      </w:r>
    </w:p>
    <w:p>
      <w:r>
        <w:t>C/11385/2014</w:t>
      </w:r>
    </w:p>
    <w:p>
      <w:r>
        <w:rPr>
          <w:b/>
        </w:rPr>
        <w:t>E. 3.2</w:t>
      </w:r>
    </w:p>
    <w:p>
      <w:r>
        <w:t>En l'espèce, l'instruction présumable nécessaire pour établir les faits comprend notamment la détermination du rôle joué par chacun des intervenants dans les transactions immobilières (les trois parties, leurs administrateurs et leurs représentants), la compréhension de ce que chacun d'eux avaient de ce qui avait été convenu et les différents degrés de responsabilités qui s'y rattachent. Ainsi, contrairement à l'avis exprimé par la recourante, il ne peut être retenu à ce stade de la procédure que la cause sera dénuée de toute complexité. Il convient également de prendre en compte le montant important de la valeur litigieuse.</w:t>
      </w:r>
    </w:p>
    <w:p>
      <w:r>
        <w:t>L'application d'une règle de trois afin de déterminer l'avance de frais ne ressort ni du CPC ni du règlement ni encore de la jurisprudence y relative. En outre, l'exécution d'un simple calcul proportionnel irait à l'encontre du principe énoncé à l'art. 5 RTFMC, qui prévoit également la prise en compte d'autres éléments aux fins de la fixation de l'avance de frais.</w:t>
      </w:r>
    </w:p>
    <w:p>
      <w:r>
        <w:t>Il sera encore rappelé que l'avance de frais au sens de l'art. 98 CPC, n'arrête pas ceux-ci au sens de l'art. 104 al. 1 CPC. Comme l'a rappelé à juste titre le Tribunal, c'est seulement dans la décision finale que le montant définitif de l'émolument de décision sera fixé. Le cas échéant, le montant des frais pourra être contesté à ce moment-là.</w:t>
      </w:r>
    </w:p>
    <w:p>
      <w:r>
        <w:t>Au vu de l'ampleur prévisible de la procédure, de la valeur litigieuse de 1'491'000 fr. et compte tenu de ce que le montant retenu par le Tribunal se trouve dans la fourchette prévue par le règlement, le premier juge n'a pas excédé son pouvoir d'appréciation en requérant une avance de frais de 48'000 fr. Partant, le recours sera rejeté.</w:t>
      </w:r>
    </w:p>
    <w:p>
      <w:r>
        <w:t>Dans la mesure où l'effet suspensif a été accordé, la Présidente du Tribunal sera invitée à fixer à la recourante un nouveau délai pour s'acquitter de l'avance de frais.</w:t>
      </w:r>
    </w:p>
    <w:p>
      <w:r>
        <w:rPr>
          <w:b/>
        </w:rPr>
        <w:t>E. 4</w:t>
      </w:r>
    </w:p>
    <w:p>
      <w:r>
        <w:t>La recourante, qui succombe, sera condamnée au paiement des frais judiciaires arrêtés à 600 fr. (art. 106 al. 1 CPC; art. 41 RTFMC) et couverts par l'avance de frais fournie par celle-ci, qui reste acquise à l'Etat de Genève (art. 111 al. 1 CPC). * * * * *</w:t>
      </w:r>
    </w:p>
    <w:p>
      <w:r>
        <w:t>- 6/6 -</w:t>
      </w:r>
    </w:p>
    <w:p>
      <w:r>
        <w:t>C/11385/2014 PAR CES MOTIFS, La Chambre civile : A la forme : Déclare recevable le recours interjeté par A______ AG contre la décision DTPI/13658/2014 du 15 décembre 2014 rendue par le Tribunal de première instance dans la cause C/11385/2014. Au fond : Le rejette. Invite la Présidente du Tribunal à impartir un nouveau délai à A______ AG pour s'acquitter de l'avance de frais. Sur les frais : Arrête les frais judiciaires de recours à 600 fr., les met à la charge de A______ AG et les compense avec l'avance de frais, qui reste acquise à l'Etat de Genève. Siégeant : Madame Florence KRAUSKOPF, présidente; Madame Sylvie DROIN,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