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ACJC/297/2018 vom 6. März 2018</w:t>
      </w:r>
    </w:p>
    <w:p>
      <w:r>
        <w:t>GE Cour de justice, 2018-03-06, FR</w:t>
      </w:r>
    </w:p>
    <w:p>
      <w:r>
        <w:rPr>
          <w:b/>
        </w:rPr>
        <w:t xml:space="preserve">Quelle: </w:t>
      </w:r>
      <w:r>
        <w:t>https://mcp.opencaselaw.ch/entscheid/ge_gerichte_ACJC_297_2018</w:t>
      </w:r>
    </w:p>
    <w:p>
      <w:r>
        <w:t>FR: GE_GERICHTE ACJC/297/2018 du 6 mars 2018</w:t>
      </w:r>
    </w:p>
    <w:p>
      <w:r>
        <w:t>IT: GE_GERICHTE ACJC/297/2018 del 6 marzo 2018</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 En l'espèce, l'appel porte sur les contributions dues à l'entretien des enfants ainsi que sur la ratification de la convention des époux relative à l'ensemble des autres effets accessoires du divorce (liquidation des rapports patrimoniaux entre époux et partage de la prévoyance professionnelle, contribution post-divorce en faveur de l'épouse et sort du logement familial), à l'exception de la garde des enfants et du droit de visite du père. La valeur litigieuse étant largement supérieure à 10'000 fr., la voie de l'appel est ouverte. Formé dans le délai utile et selon la forme prescrite par la loi (art. 130, 131, 142, 308 al. 1 let. a et 311 al. 1 CPC), l'appel est recevable.</w:t>
      </w:r>
    </w:p>
    <w:p>
      <w:r>
        <w:rPr>
          <w:b/>
        </w:rPr>
        <w:t>E. 1.2</w:t>
      </w:r>
    </w:p>
    <w:p>
      <w:r>
        <w:t>La Cour revoit la cause avec un plein pouvoir d'examen (art. 310 CPC). Les maximes d'office et inquisitoire illimitée s'appliquent en ce qui concerne les dispositions relatives aux enfants mineurs (art. 296 al. 3 CPC). La maxime des débats s'applique à la procédure concernant le régime matrimonial et les contributions d'entretien après le divorce (art. 277 al. 1 CPC). Pour le surplus, 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2</w:t>
      </w:r>
    </w:p>
    <w:p>
      <w:r>
        <w:t>Compte tenu du domicile des époux et de la résidence habituelle des enfants à Genève, les autorités genevoises sont compétentes (art. 59, 63 al. 1, 79 al. 1, 85 al. 1 LDIP et 10 al. 1 de la Convention de la Haye du 19 octobre 1996 concernant la compétence, la loi applicable, la reconnaissance, l'exécution et la coopération en matière de responsabilité parentale et de mesures de protection des enfants, CLaH96). Le droit suisse est applicable (art. 54 al. 1 let. b, 61, 63 al. 2, 83 al 1, 85 al.1 LDIP, 15 al. 1 CLaH96, art. 4 de la Convention de la Haye du 2 octobre 1973 sur la loi applicable aux obligations alimentaires, CLaH73).</w:t>
      </w:r>
    </w:p>
    <w:p>
      <w:r>
        <w:rPr>
          <w:b/>
        </w:rPr>
        <w:t>E. 3</w:t>
      </w:r>
    </w:p>
    <w:p>
      <w:r>
        <w:t>L'intimé conclut à l'irrecevabilité de certaines des conclusions de l'appelante et des pièces qu'elle produit devant la Cour, motif pris de leur caractère nouveau.</w:t>
      </w:r>
    </w:p>
    <w:p>
      <w:r>
        <w:t>- 13/19 -</w:t>
      </w:r>
    </w:p>
    <w:p>
      <w:r>
        <w:t>C/9140/2016</w:t>
      </w:r>
    </w:p>
    <w:p>
      <w:r>
        <w:rPr>
          <w:b/>
        </w:rPr>
        <w:t>E. 3.1</w:t>
      </w:r>
    </w:p>
    <w:p>
      <w:r>
        <w:t>En appel, la modification de la demande n'est recevable que si elle repose sur des faits ou des moyens de preuve nouveaux (art. 317 al. 2 CPC) et si les conditions de l'art. 227 al. 1 CPC sont remplies, à savoir que la conclusion nouvelle relève de la même procédure et qu'elle présente un lien de connexité avec la dernière prétention, ou que la partie adverse consente à la modification (art. 227 al. 1 CPC). L'identité de l'objet du procès se détermine en fonction du prononcé requis et du conglomérat des faits prétendus à la base de la prétention, et non en fonction de la motivation, laquelle peut varier au fil du procès (arrêt du Tribunal fédéral 4A_455/2015 consid. 2.2.3 in RSPC 2016 111+N).</w:t>
      </w:r>
    </w:p>
    <w:p>
      <w:r>
        <w:t>En l'espèce, les conclusions de l'appelante devant la Cour diffèrent certes par leur rédaction de celles prises en dernier lieu en première instance; cependant, elles tendent dans leur substance, comme ces dernières, au refus de ratification de la convention du 28 avril 2016, ainsi qu'à l'invalidation de celle-ci et des actes d'exécution ultérieurs. Enfin, de manière admissible (art. 317 al. 3 CPC), l'appelante réduit certaines de ses prétentions, en offrant de verser une indemnité mensuelle pour l'usage du logement familial (alors qu'elle le réclamait précédemment à titre gratuit) et en réduisant la durée durant laquelle une contribution post-divorce doit lui être versée, enfin en ne contestant plus la quotité des soultes prévues en sa faveur (900'000 fr., respectivement 184'000 euros, en contrepartie de sa part de copropriété du logement conjugal et du chalet de ______), mais seulement leur réduction résultant de la non-réalisation des conditions suspensives auxquelles est soumis leur versement intégral. En définitive, seules les prétentions relatives à la contribution de l'intimé à l'entretien des enfants sont augmentées, sans toutefois que cela porte à conséquence, la Cour n'étant, sur ce point, pas liée par les conclusions des parties. La discussion sur la recevabilité des conclusions de l'appel (question que la Cour examine d'office) ne s'arrête toutefois pas là. En application du principe général de procédure, en effet, les conclusions en constatation de droit ne sont recevables que si des conclusions condamnatoires ou formatrices sont exclues, l'action constatatoire ayant, sauf circonstances exceptionnelles, un caractère subsidiaire (ATF 142 V 2 consid. 1.1; 141 II 113 consid. 1.7; 137 II 199 consid. 6.5; 135 I 119 consid. 4 et les arrêts cités). Sont ainsi irrecevables les conclusions de l'appelante tendant à la constatation du caractère incomplet et inéquitable de la convention du 28 avril 2018 (qui portent sur les conditions matérielles du refus de la ratification de la convention que l'appelante sollicite par ailleurs) ainsi que celles tendant à la constatation que les conditions d'une requête commune de divorce ne sont pas remplies (sans portée distincte de la conclusion tendant à la conversion de la procédure de divorce sur requête commune en procédure de divorce sur requête unilatérale). Sous cette réserve, les conclusions de l'appel sont recevables.</w:t>
      </w:r>
    </w:p>
    <w:p>
      <w:r>
        <w:t>- 14/19 -</w:t>
      </w:r>
    </w:p>
    <w:p>
      <w:r>
        <w:t>C/9140/2016</w:t>
      </w:r>
    </w:p>
    <w:p>
      <w:r>
        <w:rPr>
          <w:b/>
        </w:rPr>
        <w:t>E. 3.2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l'admission d'allégations et d'offres de preuve nouvelles en appel, y compris dans les procédures soumises à la maxime inquisitoire simple (ATF 138 III 625 consid. 2.2). Dans les causes concernant les enfants mineurs, compte tenu des maximes d'office et inquisitoire illimitée régissant la procédure (art. 296 CPC), la Cour admet cependant tous les novas (ACJC/809/2016 du 1er juin 2016 consid. 1.3.1; ACJC/267/2015 du 6 mars 2015 consid. 1.3). En l'espèce, les pièces nouvellement produites par l'une et l'autre des parties en appel sont recevables, soit parce qu'elles sont postérieures à la clôture des débats devant le premier juge, soit parce qu'elles concernent la capacité contributive des parties et/ou les charges des enfants, éléments pertinents pour fixer la contribution due à l'entretien des enfants mineurs. Seule sera écartée du dossier la pièce 6 appelante, dont il n'est pas établi qu'elle concernerait un fait nouveau au sens de l'art. 317 al. 1 CPC.</w:t>
      </w:r>
    </w:p>
    <w:p>
      <w:r>
        <w:rPr>
          <w:b/>
        </w:rPr>
        <w:t>E. 4</w:t>
      </w:r>
    </w:p>
    <w:p>
      <w:r>
        <w:t>Les parties ne contestent pas les dispositions du jugement entrepris relatives au sort des enfants (autorité parentale, garde et droit de visite), que la Cour examine toutefois d'office. Sur ces points, le jugement concrétise la situation que vivent les enfants depuis la séparation du couple et dont aucun élément ne permet de retenir qu'elle serait contraire à l'intérêt des mineurs. La question de la contribution à leur entretien, en lien de connexité étroite avec celle de la contribution post-divorce en faveur de leur mère, doit être examinée en même temps que celle-ci.</w:t>
      </w:r>
    </w:p>
    <w:p>
      <w:r>
        <w:rPr>
          <w:b/>
        </w:rPr>
        <w:t>E. 5</w:t>
      </w:r>
    </w:p>
    <w:p>
      <w:r>
        <w:t>L'appelante s'oppose à la ratification de la convention de divorce du 28 avril 2016, au motif qu'elle serait incomplète et manifestement inéquitable.</w:t>
      </w:r>
    </w:p>
    <w:p>
      <w:r>
        <w:rPr>
          <w:b/>
        </w:rPr>
        <w:t>E. 5.1</w:t>
      </w:r>
    </w:p>
    <w:p>
      <w:r>
        <w:t>La convention sur effets accessoires du divorce est une transaction de nature particulière, dans ce sens que sa validité dépend d'une ratification par le juge du divorce, avec pour conséquence qu'elle perd sa nature contractuelle et devient partie intégrante du jugement de divorce (entres autres arrêts: ATF 138 III 534, consid. 1.3 et réf. citées). Les époux qui soumettent au juge une requête commune de divorce accompagnée d'une convention sur les effets accessoires du divorce, puis confirment au juge la teneur de leurs accords lors de l'audience, sont liés par leur convention, laquelle ne peut plus être unilatéralement révoquée. L'époux qui entend alors revenir sur la convention peut uniquement demander au juge de ne pas la ratifier (ATF 135 III 193 cons. 2.2; arrêts du Tribunal fédéral 5A_688/2013 cons. 7.2.1 et réf. citées, publié in SJ 2014 I p. 369 et ss.).</w:t>
      </w:r>
    </w:p>
    <w:p>
      <w:r>
        <w:t>- 15/19 -</w:t>
      </w:r>
    </w:p>
    <w:p>
      <w:r>
        <w:t>C/9140/2016 Le tribunal ratifie la convention sur les effets du divorce après s'être assuré que les époux l'ont conclue après mûre réflexion et de leur plein gré, qu'elle est claire et complète, et qu'elle n'est pas manifestement inéquitable (art. 279 al. 1 1 ère phrase CPC). La ratification est ainsi subordonnée à cinq conditions: la mûre réflexion des époux, leur libre volonté, le caractère clair de la convention, son caractère complet et l'absence d'une inéquité manifeste. La ratification de la convention peut être remise en cause dans le cadre d'un appel ou d'un recours, selon la valeur du litige, pour violation de l'art. 279 al. 1 CPC, et non seulement pour vices du consentement, comme c'est le cas de la décision sur le prononcé du divorce lui- même (art. 289 CPC). Le juge doit vérifier que les époux ont compris les dispositions de leur convention et les conséquences qu'elles impliquent, et notamment qu'ils ne l'ont pas conclue dans la précipitation ou acceptée par lassitude (arrêt du Tribunal fédéral 5A_187/2013 du 4 octobre 2013 consid. 6.1 et les références). Il doit en outre s'assurer que les époux ont librement formé et communiqué leur volonté. Le consentement exempt de vices au sens du droit des obligations ne correspond cependant pas totalement au consentement donné après mûre réflexion et de plein gré de l'art. 279 CC, le second devant être examiné de manière moins restrictive (arrêt du Tribunal fédéral 5A_721/2012 du 17 janvier 2013 consid. 3.3.2). La condition du plein gré présuppose que les parties n'ont pas conclu leur convention sous l'empire d'une erreur (art. 23 ss CO), du dol (art. 28 CO) ou de la menace (art. 29 s. CO); le juge n'est toutefois pas tenu de rechercher des vices du consentement cachés, la maxime des débats étant applicable et la partie victime d'un vice du consentement supportant le fardeau tant de l'allégation que de la preuve (arrêt du Tribunal fédéral 5A_772/2014 consid. 5.1 et réf. citées). La convention est complète lorsqu'elle englobe tous les effets accessoires du divorce devant être réglés, soit les questions relatives aux contributions d'entretien, au sort de la prévoyance professionnelle et du logement familial, enfin celles liées à la liquidation des rapports patrimoniaux entre époux. Les dispositions relatives au sort des enfants, même intégrées à la convention échappent toutefois à la libre disposition des époux (SUTTER-SOMM, Komm.-ZPO, 3ème éd. 2016. n. 5 ad art. 279 CPC). Une convention est claire lorsqu'elle permet une représentation objective et sans ambiguïté de la volonté des parties, en particulier dans l'optique de son exécution ou de sa modification ultérieure. Plus spécifiquement, n'est pas claire une convention ambiguë sur ce qui est octroyé au titre de la prévoyance professionnelle (SUTTER-SOMM, op. cit., n. 13 ad art. 279 CPC). Enfin, 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w:t>
      </w:r>
    </w:p>
    <w:p>
      <w:r>
        <w:t>- 16/19 -</w:t>
      </w:r>
    </w:p>
    <w:p>
      <w:r>
        <w:t>C/9140/2016 être qualifiée de "manifestement inéquitable". A l'instar de la lésion (art. 21 CO), il doit y avoir une disproportion évidente entre les parts attribuées à chacun des époux. Le juge jouit à cet égard d'un large pouvoir d'appréciation (ATF 121 III 393 consid. 5c; arrêts du Tribunal fédéral 5A.772/2014 du 17 mars 2015 consid. 7.1; 5A_599/2007 du 2 octobre 2008 consid. 6.4.1 publié in : FamPra.ch, 2009 p. 749; 5C.163/2006 du 3 novembre 2006 consid. 4.1; 5C.270/2004 du 14 juillet 2005 consid. 5.4.2). Il ne saurait toutefois être exigé du juge qu'il procède à un calcul des montants auxquels les parties auraient pu prétendre au titre de la liquidation du régime matrimonial, de la perception d'une pension et de la prévoyance professionnelle ou encore de la liquidation de leurs rapports patrimoniaux, dettes comprises. Il faut en effet garder à l'esprit que la transaction est précisément conclue pour éviter un examen complet des faits et de leur portée juridique et que seule une disproportion évidente et immédiatement reconnaissable doit amener le juge à refuser la ratification (arrêt du Tribunal fédéral 5A.772/2014 du 17 mars 2015 précité, consid. 7.3).</w:t>
      </w:r>
    </w:p>
    <w:p>
      <w:r>
        <w:rPr>
          <w:b/>
        </w:rPr>
        <w:t>E. 5.2</w:t>
      </w:r>
    </w:p>
    <w:p>
      <w:r>
        <w:t>En l'espèce, la convention litigieuse a été conclue après de longues négociations, lors desquelles chacun des époux était assisté d'un avocat d'expérience. Plusieurs projets de convention successifs ont alors été rédigés. Finalement, les époux ont recouru à une médiation, confiée au Bâtonnier de l'Ordre des avocats, lors de laquelle ils ont continué à être assistés de leur conseil respectif, la convention litigieuse ayant été signée à l'issue de ce processus. Les époux ont alors déposé une requête commune de divorce et demandé la ratification de la convention, puis ont confirmé leurs accords tant lors de leur audition séparée par le juge du divorce que lors de leur audition commune. Ils ont enfin signé des actes de cession mobilière et immobilière en exécution partielle de leur convention, avant même que le juge ne se prononce sur sa ratification. L'appelante ne soutient en outre plus, devant la Cour, avoir agi sous la pression de son avocat, du médiateur ou de tout autre personne et n'invoque plus aucun autre vice de consentement, dont les éléments du dossier ne permettraient d'ailleurs pas de retenir l'existence. Le premier juge a ainsi, avec raison, retenu que la convention du 28 avril 2016 avait été conclue par les parties après mûre réflexion et de leur plein gré. La convention contient des dispositions relatives au sort des enfants, à la contribution à leur entretien due par leur père jusqu'à la majorité et au-delà, à la contribution post-divorce due à l'épouse, au règlement des rapports patrimoniaux des époux, au partage de la prévoyance, enfin au sort du logement de la famille. La convention, qui aborde tous les effets accessoires du divorce, doit dès lors être considérée comme complète, nonobstant le fait qu'elle ne précise pas le montant de la contribution à l'entretien des enfants pour la période postérieure à leur majorité. La convention ne saurait en revanche pas être considérée comme claire. D'une part, les dispositions relatives à la contribution due pour l'entretien des enfants sont susceptibles de générer des controverses futures au moment de</w:t>
      </w:r>
    </w:p>
    <w:p>
      <w:r>
        <w:t>- 17/19 -</w:t>
      </w:r>
    </w:p>
    <w:p>
      <w:r>
        <w:t>C/9140/2016 l'exécution, notamment en lien avec les stages sportifs ou culturels prévus, qui doivent être organisés par l'intimé, mais financés par l'appelante à hauteur de 1'500 fr. par an. D'autre part, la convention prévoit le versement d'une soulte globale en faveur de l'appelante, sans distinguer ce qui lui revient au titre de la liquidation des rapports patrimoniaux entre époux de ce qui lui revient au titre du partage des avoirs de prévoyance. Or, statuant le 31 mars 2017, le premier juge ne pouvait se dispenser d'examiner d'office si la solution d'une soulte globale respectait les art. 124a et 124b CC, entrés en vigueur le 1er janvier 2017 et d'application immédiate (art. 7d Tit. fin. CC). Plus spécifiquement, l'intimé bénéficiant d'ores et déjà de rentes de retraite, l'appelante ne pouvait plus prétendre au versement d'une indemnité équitable en capital (art. 124 aCC), mais uniquement au versement d'une rente par l'institution de prévoyance (art. 124a CC), prétention à laquelle elle ne pouvait renoncer que si une prévoyance suffisante lui était garantie par ailleurs (art. 124b CC). Or, le jugement attaqué est muet sur la question. Enfin, à teneur de l'art. 121 al. 3 CC, l'appelante pourrait prétendre, a priori, moyennant versement d'une indemnité équitable ou réduction de la contribution en sa faveur, à un droit d'habitation sur le logement familial jusqu'à ce que les enfants communs, encore mineurs et vivant de longue date dans ce logement, achèvent leur formation (respectivement aient 25 ans résolus), étant rappelé qu'en la matière, le juge jouit d'un large pouvoir d'appréciation (art. 4 CC) et qu'il doit tenir compte de toutes les circonstances, notamment les intérêts de chaque époux et le bien des enfants communs encore mineurs au moment du prononcé du divorce (arrêts du Tribunal fédéral 5A_835/2015 du 21 mars 2016 consid. 3.1; 5A_76/2009 du 4 mai 2009 consid. 7.1). En comparaison, la convention litigieuse accorde à l'appelante l'usage du logement familial pour 5 mois seulement et lui impose un délai de départ au 30 septembre 2016. L'appelante étant demeurée dans le logement familial au-delà de cette date, la convention lui impose le paiement d'une indemnité mensuelle pour l'occupation du logement de 4'000 fr. dès le 1er octobre 2016, montant qui correspond à l'intégralité de la contribution prévue en sa faveur et qui, partant, revêt un caractère excessif. A cela s'ajoute non seulement une réduction de la soulte globale de 900'000 fr. convenue à 700'000 fr., mais encore le non-paiement du solde encore dû en sa faveur (soit 250'000 fr. après versement de l'acompte de 450'000 fr.), puisque le paiement de ce solde est lui aussi conditionné, outre au prononcé du divorce, à la libération de l'appartement conjugal par l'appelante avant le 30 septembre 2016, condition qui ne s'est pas réalisée. Dès lors, la soulte globale, de facto réduite de moitié en raison de la non-réalisation d'une des deux conditions suspensives prévues, apparaît largement inférieure à la seule valeur de la part de copropriété de moitié de l'appelante dans l'appartement conjugal, sans même tenir compte de l'indemnité résultant du partage des avoirs de prévoyance. Le même mécanisme de réduction est enfin également applicable en ce qui concerne la cession à l'intimé de la part de copropriété de l'appelante dans le chalet de ______.</w:t>
      </w:r>
    </w:p>
    <w:p>
      <w:r>
        <w:t>- 18/19 -</w:t>
      </w:r>
    </w:p>
    <w:p>
      <w:r>
        <w:t>C/9140/2016 Les éléments actuellement au dossier ne permettent au surplus pas de retenir que l'intimé pourrait se prévaloir d'une créance envers l'appelante, résultant de l'appropriation, par cette dernière, de valeurs déposées dans le coffre bancaire de l'intimé, appropriation que l'appelante conteste.</w:t>
      </w:r>
    </w:p>
    <w:p>
      <w:r>
        <w:rPr>
          <w:b/>
        </w:rPr>
        <w:t>E. 5.3</w:t>
      </w:r>
    </w:p>
    <w:p>
      <w:r>
        <w:t>Au regard de ce qui précède, les griefs de l'appelante en relation avec le caractère inéquitable de la convention de divorce doivent être accueillis, ce qui conduit à l'annulation du jugement entrepris, sans qu'il soit nécessaire d'examiner les autres griefs de l'appelante relatifs en particulier à la quotité des contributions d'entretien. Dans le respect du principe de double degré de juridiction, le dossier doit en effet être renvoyé au premier juge pour instruction complémentaire et nouvelle décision en ce qui concerne tous les effets accessoires du divorce. La question de savoir si la cause doit être confiée à la Chambre ayant statué ou à une autre Chambre relève de l'organisation du Tribunal de première instance, respectivement des dispositions sur la récusation, et n'a dès lors pas vocation à être tranchée au stade du présent appel.</w:t>
      </w:r>
    </w:p>
    <w:p>
      <w:r>
        <w:rPr>
          <w:b/>
        </w:rPr>
        <w:t>E. 6</w:t>
      </w:r>
    </w:p>
    <w:p>
      <w:r>
        <w:t>Vu l'issue du litige, les frais de la procédure d'appel, arrêtés à 10'000 fr., sont mis à la charge de l'intimé, qui succombe (art. 106 al. 1 CPC). Ils sont compensés avec l'avance de frais versée par l'appelante, laquelle est acquise à l'Etat (art. 111 al. CPC), l'intimé étant partant condamné à verser 10'000 fr. à l'appelante à ce titre. Compte tenu de la nature familiale du litige, chaque parties supportera ses propres dépens d'appel (107 al. 1 let. c CPC). * * * * * *</w:t>
      </w:r>
    </w:p>
    <w:p>
      <w:r>
        <w:t>- 19/19 -</w:t>
      </w:r>
    </w:p>
    <w:p>
      <w:r>
        <w:t>C/9140/2016</w:t>
      </w:r>
    </w:p>
    <w:p>
      <w:r>
        <w:t>PAR CES MOTIFS, La Chambre civile : A la forme : Déclare recevable l'appel interjeté par A______ contre le jugement JTPI/4568/2017 rendu le 31 mars 2017 par le Tribunal de première instance dans la cause C/9140/2016- 3. Au fond : Annule ce jugement. Renvoie la cause au Tribunal pour instruction complémentaire et nouvelle décision. Déboute les parties de toutes autres conclusions. Sur les frais : Arrête les frais judiciaires d'appel à 10'000 fr., les met à la charge de C______ et dit qu'ils sont compensés avec l'avance de frais de même montant versée par A______, laquelle est acquise à l'Etat de Genève. Condamne C______ à verser 10'000 fr. à A______. Dit que chaque partie supporte ses propres dépens d'appel. Siégeant : Madame Ursula ZEHETBAUER GHAVAMI, présidente; Monsieur Ivo BUETTI, juge; Madame Marguerite JACOT-DES-COMBES, juge suppléante; Madame Anne-Lise JAQUIER, greffière. La présidente : Ursula ZEHETBAUER GHAVAMI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