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ACJC/293/2024 vom 9. Oktober 2023</w:t>
      </w:r>
    </w:p>
    <w:p>
      <w:r>
        <w:t>GE Cour de justice, 2023-10-09, FR</w:t>
      </w:r>
    </w:p>
    <w:p>
      <w:r>
        <w:rPr>
          <w:b/>
        </w:rPr>
        <w:t xml:space="preserve">Quelle: </w:t>
      </w:r>
      <w:r>
        <w:t>https://mcp.opencaselaw.ch/entscheid/ge_gerichte_ACJC_293_2024</w:t>
      </w:r>
    </w:p>
    <w:p>
      <w:r>
        <w:t>FR: GE_GERICHTE ACJC/293/2024 du 9 octobre 2023</w:t>
      </w:r>
    </w:p>
    <w:p>
      <w:r>
        <w:t>IT: GE_GERICHTE ACJC/293/2024 del 9 ottobre 2023</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w:t>
      </w:r>
    </w:p>
    <w:p>
      <w:r>
        <w:t>En l'espèce, l'appel a été introduit en temps utile, selon la forme prescrite par la loi (art. 311 al. 1 CPC) et porte sur des conclusions supérieures à 10'000 fr.</w:t>
      </w:r>
    </w:p>
    <w:p>
      <w:r>
        <w:t>Il est donc recevable.</w:t>
      </w:r>
    </w:p>
    <w:p>
      <w:r>
        <w:rPr>
          <w:b/>
        </w:rPr>
        <w:t>E. 1.2</w:t>
      </w:r>
    </w:p>
    <w:p>
      <w:r>
        <w:t>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w:t>
      </w:r>
    </w:p>
    <w:p>
      <w:r>
        <w:t>- 7/13 -</w:t>
      </w:r>
    </w:p>
    <w:p>
      <w:r>
        <w:t>C/4926/2023</w:t>
      </w:r>
    </w:p>
    <w:p>
      <w:r>
        <w:rPr>
          <w:b/>
        </w:rPr>
        <w:t>E. 2</w:t>
      </w:r>
    </w:p>
    <w:p>
      <w:r>
        <w:t>L'intimée a produit une pièce nouvelle.</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la pièce produite par l'intimée est une attestation émanant d'un fournisseur de cuisines établie suite à une demande de l'intimée du 1er novembre 2023. L'intimée aurait pu obtenir ce document plus tôt et le fournir au Tribunal, de sorte qu'elle est irrecevable.</w:t>
      </w:r>
    </w:p>
    <w:p>
      <w:r>
        <w:rPr>
          <w:b/>
        </w:rPr>
        <w:t>E. 3</w:t>
      </w:r>
    </w:p>
    <w:p>
      <w:r>
        <w:t>Les appelantes ont formulé différents griefs à l'encontre de l'état de fait rédigé par le Tribunal. Celui-ci a été complété de manière à y intégrer tous les faits pertinents pour l'issue du litige.</w:t>
      </w:r>
    </w:p>
    <w:p>
      <w:r>
        <w:rPr>
          <w:b/>
        </w:rPr>
        <w:t>E. 4</w:t>
      </w:r>
    </w:p>
    <w:p>
      <w:r>
        <w:t>Le Tribunal a retenu qu'il était hautement vraisemblable que le délai de quatre mois dès l'achèvement des travaux prévu par l'art. 839 al. 2 CC pour requérir l'inscription de l'hypothèque légale n'avait pas été respecté. L'avis de réception des travaux du 22 novembre 2022 invoqué par les appelantes à l'appui de leur requête ne concernait pas le contrat de sous-traitance litigieux conclu par les appelantes avec E______ SA mais des travaux commandés par un tiers, à savoir H______, lesquels avaient été entièrement réglés. Les appelantes se prévalaient d'une annexe illisible au contrat pour soutenir que les travaux réceptionnés le 22 novembre 2022 faisaient partie de prestations commandées par E______ SA. L'achèvement des travaux à une date antérieure au 22 novembre 2022 était corroborée par le fait que le tableau d'avancement des travaux, daté d'août 2021, mentionnait que ceux portant sur les locaux de H______ avaient été exécutés à 100 %. De plus, le rapport OIBT avait été établi à la suite d'une visite au mois de février 2022.</w:t>
      </w:r>
    </w:p>
    <w:p>
      <w:r>
        <w:t>Les appelantes font valoir que "compte tenu de l'absence de procès-verbal de réception d'ouvrage fourni par E______ SA" pour les travaux d'installation électrique dans la cuisine de H______, elles sont "parties du principe" que l'avis de réception du 22 novembre 2022 valait également "pour les travaux complémentaires requis par E______ SA". L'avis de réception du 8 avril 2022 ne concernait pas les travaux exécutés par leurs soins dans la cuisine de H______ mais seulement dans le restaurant. Les travaux de la cuisine ne pouvaient pas être achevés avant la livraison des meubles et équipement en novembre 2022. Le tableau d'avancement des travaux d'août 2021 n'était pas déterminant car il ne mentionnait ni les postes installations à courant fort et faible relatifs à la cuisine de H______, ni ceux correspondant à l'avenant n° 4. Les travaux réceptionnés le 22 novembre 2022 comprenaient des "interrupteurs de révision" dont la pose était indispensable pour des raisons de sécurité et qui étaient inclus dans le contrat de sous-traitance, conformément à l'OIBT et la NIBT 2020. Se référant à un devis du</w:t>
      </w:r>
    </w:p>
    <w:p>
      <w:r>
        <w:t>- 8/13 -</w:t>
      </w:r>
    </w:p>
    <w:p>
      <w:r>
        <w:t>C/4926/2023</w:t>
      </w:r>
    </w:p>
    <w:p>
      <w:r>
        <w:rPr>
          <w:b/>
        </w:rPr>
        <w:t>E. 4.1</w:t>
      </w:r>
    </w:p>
    <w:p>
      <w:r>
        <w:t>L'art. 837 al. 1 ch. 3 CC prévoit un droit à l'inscription d'une hypothèque légale des artisans et entrepreneurs.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il peut être sauvegardé par l'annotation d'une inscription provisoire (ATF 126 III 462 consid. 2c/aa; arrêt du Tribunal fédéral 5A_518/2020 du 22 octobre 2020 consid. 3.1). Le sous-traitant a un droit propre et indépendant à obtenir l’inscription d’une hypothèque légale sur le fonds d’un propriétaire avec qui il n’entretient pas de rapports contractuels. Ce droit peut être exercé parallèlement à celui de l’entrepreneur général et même si ce dernier a été payé par le propriétaire (BOVEY, CR-CC II, n. 24 et 25 ad art. 839 CC). Il y a achèvement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 du Tribunal fédéral 5A_518/2020 du 22 octobre 2020 consid. 3.1). Les travaux effectués par l'entrepreneur en exécution de l'obligation de garantie prévue à l'article 368 al. 2 CO n'entrent pas non plus en ligne de compte pour la computation du délai.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(arrêt du Tribunal fédéral 5A_282/2016 du 17 janvier 2017 consid. 4.1). Le délai de l'art. 839 al. 2 CC commence à courir dès l'achèvement des travaux, et non pas dès l'établissement de la facture;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w:t>
      </w:r>
    </w:p>
    <w:p>
      <w:r>
        <w:t>- 9/13 -</w:t>
      </w:r>
    </w:p>
    <w:p>
      <w:r>
        <w:t>C/4926/2023 qu'il estime l'ouvrage achevé (arrêt du Tribunal fédéral 5A_518/2020 du 22 octobre 2020 consid. 3.1). Il incombe à l'entrepreneur d'établir, ou à tout le moins de rendre vraisemblable que le délai de quatre mois a été respecté (BOVEY, op. cit., n. 87 ad art. 839 CC). L'hypothèque légale des artisans et entrepreneurs ne peut être inscrite que si le montant du gage est rendu vraisemblable par la reconnaissance du propriétaire ou par la décision du juge (art. 839 al. 3 et 961 al. 3 CC).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w:t>
      </w:r>
    </w:p>
    <w:p>
      <w:r>
        <w:rPr>
          <w:b/>
        </w:rPr>
        <w:t>E. 4.2</w:t>
      </w:r>
    </w:p>
    <w:p>
      <w:r>
        <w:t>En l'espèce, les appelantes font valoir qu'elles ont une créance de 978'929 fr. 44 à l'encontre de l'intimée en paiement de travaux d’électricité effectués par leurs soins dans les bâtiments 4______ et 3______ construits sur la parcelle de l'intimée, en application du contrat de sous-traitance conclu entre elles- mêmes et E______ SA le 4 septembre 2020.</w:t>
      </w:r>
    </w:p>
    <w:p>
      <w:r>
        <w:t>Dans leur requête, elles ont allégué que les travaux dans le bâtiment 3______ s'étaient achevés le 22 novembre 2022, les dernières opérations ayant été effectuées dans la cuisine de H______ genevoise. Elles ont produit à l'appui des allégations précitées, un procès-verbal de réception de l'ouvrage daté du 22 novembre 2022.</w:t>
      </w:r>
    </w:p>
    <w:p>
      <w:r>
        <w:t>Or, ce procès-verbal n'atteste pas de la réception de travaux effectués en application du contrat de sous-traitance conclu entre les appelantes et E______ SA le 4 septembre 2020. Il a trait à la réception de travaux commandés le 6 octobre 2022 par H______, représentée par le bureau K______, soit pour lui J______.</w:t>
      </w:r>
    </w:p>
    <w:p>
      <w:r>
        <w:t>Les travaux objet du procès-verbal du 22 novembre 2022 ne sont ainsi pas des travaux commandés par E______ SA et ne sont pas compris dans le contrat de sous-traitance de septembre 2020. La comparaison de l'offre acceptée par H______ avec les travaux décrits dans la requête d'hypothèque légale comme</w:t>
      </w:r>
    </w:p>
    <w:p>
      <w:r>
        <w:t>- 10/13 -</w:t>
      </w:r>
    </w:p>
    <w:p>
      <w:r>
        <w:t>C/4926/2023 étant les derniers travaux effectués permet en effet de retenir qu'il s'agit des mêmes travaux.</w:t>
      </w:r>
    </w:p>
    <w:p>
      <w:r>
        <w:t>Or, il ressort du dossier que les factures émises par les appelantes suite à l'achèvement de ces travaux ont été entièrement réglées par H______.</w:t>
      </w:r>
    </w:p>
    <w:p>
      <w:r>
        <w:t>L'ouvrage en lien avec lequel les appelantes allèguent avoir des créances a quant à lui été réceptionné par le maître de l'ouvrage, à savoir F______ SA, le 8 avril 2022, comme cela ressort du procès-verbal de réception du même jour signé par cette dernière et par E______ SA.</w:t>
      </w:r>
    </w:p>
    <w:p>
      <w:r>
        <w:t>Aucun élément du dossier ne permet de retenir que l'avis de réception de l'ouvrage du 8 avril 2022 ne concerne pas la cuisine de H______ et seulement le restaurant L______, contrairement à ce qu'allèguent les appelantes. En effet, ledit procès- verbal mentionne les locaux de H______ dans leur ensemble, sans faire de réserve en lien avec la cuisine. Si les travaux commandés à E______ SA par le maître de l'ouvrage pour la cuisine de H______ n'avaient pas été terminés à cette date, cela aurait certainement fait l'objet d'une mention dans le procès-verbal de réception de l'ouvrage, ce qui n'a pas été le cas.</w:t>
      </w:r>
    </w:p>
    <w:p>
      <w:r>
        <w:t>La réception de l'intégralité des locaux destinés à H______ en date du 8 avril 2022 est confirmée par le fait que, le 29 avril 2022, E______ SA a adressé aux appelantes une proposition de décompte final. Il ressort de plus de la réponse des appelantes à ce courrier, datée du 23 mai 2022, que les travaux faisant l'objet des factures qu'elles font valoir dans la présente procédure avaient tous été effectués à cette date (soit quatorze devis pour un montant total de 978'929 fr. 44 TTC).</w:t>
      </w:r>
    </w:p>
    <w:p>
      <w:r>
        <w:t>A cela s'ajoute que les appelantes ont adressé leur facture finale à E______ SA le 30 juin 2022, ce qui confirme qu'elles considéraient que les travaux qui leur avaient été confiés par celle-ci étaient terminés à cette date.</w:t>
      </w:r>
    </w:p>
    <w:p>
      <w:r>
        <w:t>Les allégations de l'intimée selon lesquelles les travaux ont été achevés bien avant le 22 avril 2022 sont qui plus est confirmées, comme l'a relevé à bon droit le Tribunal, par le tableau d'avancement des travaux établi par les appelantes en août 2021. Ce tableau indique en effet que les travaux en lien avec les locaux de H______ étaient entièrement terminés à cette date. Le fait que les postes installations à courant fort et faible ne soient pas mentionnés séparément dans ce tableau n'est pas déterminant. En effet, s'il restait des tâches à effectuer en lien avec les locaux de H______, les appelantes n'auraient pas indiqué sur ce tableau que ces travaux étaient terminés à 100%. Aucun élément du dossier ne rend par ailleurs vraisemblable que les postes correspondant à l'avenant n° 4 au contrat de sous-traitance manquaient dans ce tableau.</w:t>
      </w:r>
    </w:p>
    <w:p>
      <w:r>
        <w:t>Par ailleurs, si, comme l'allèguent les appelantes, des "interrupteurs de révision", indispensables pour des raisons de sécurité à l'achèvement des travaux et inclus</w:t>
      </w:r>
    </w:p>
    <w:p>
      <w:r>
        <w:t>- 11/13 -</w:t>
      </w:r>
    </w:p>
    <w:p>
      <w:r>
        <w:t>C/4926/2023 dans le contrat de sous-traitance, manquaient au moment de la réception de l'ouvrage intervenue le 8 avril 2022, cette omission aurait certainement été relevée par le maître de l'ouvrage et portée au procès-verbal de réception. Or, celui-ci ne mentionne rien de tel. En tout état de cause, l'offre acceptée par H______ le 6 octobre 2022 porte sur le raccordement aux interrupteurs de révision et non sur la pose de ceux-ci. La formulation de ladite offre implique ainsi que, en octobre 2022, lesdits interrupteurs avaient déjà été posés.</w:t>
      </w:r>
    </w:p>
    <w:p>
      <w:r>
        <w:t>Il ne résulte pas non plus des dispositions prévues par l'OIBT et la NIBT (Norme sur les installations à basse tension), invoquées par les appelantes dans un raisonnement peu clair, que les travaux commandés par E______ SA se seraient achevés en novembre 2022.</w:t>
      </w:r>
    </w:p>
    <w:p>
      <w:r>
        <w:t>Contrairement à ce que soutiennent les appelantes, le fait que la cuisine n'était pas entièrement équipée le 8 avril 2022 n'est pas déterminant. En effet, la question à résoudre est celle de savoir à quelle date les travaux prévus par le contrat de sous- traitance ont été terminés, indépendamment de savoir si lesdits travaux comportaient ou non toutes les installations nécessaires à ce que la cuisine soit immédiatement fonctionnelle. Or, la pièce à laquelle se réfèrent les appelantes n'établit pas que les travaux d'électricité réceptionnés le 22 novembre 2022, concernant notamment le raccordement des équipements et meubles garnissant la cuisine, étaient inclus dans le contrat de sous-traitance. Le fait que H______ a elle-même commandé et réglé ces travaux postérieurement à la réception de l'ouvrage par F______ SA atteste au demeurant du contraire.</w:t>
      </w:r>
    </w:p>
    <w:p>
      <w:r>
        <w:t>Au fil d'une argumentation confuse, les appelantes semblent soutenir que les derniers travaux effectués dans la cuisine de H______ étaient compris à la fois dans ceux commandés par E______ SA, suite à un devis du 29 novembre 2021, et dans ceux commandés par H______. Ces allégations ne sont étayées par aucune pièce du dossier, étant précisé que l'intimée soutient que le devis du 29 novembre 2021 ne concernait pas des travaux relatifs aux interrupteurs de révision ou aux fours, contrairement aux allégations des appelantes. Au demeurant, une facturation à double des mêmes travaux, à deux entités différentes, paraît difficilement justifiable. A cela s'ajoute que les appelantes n'expliquent pas pourquoi elles auraient attendu novembre 2022 pour effectuer des travaux commandés en novembre 2021.</w:t>
      </w:r>
    </w:p>
    <w:p>
      <w:r>
        <w:t>Les appelantes se prévalent par ailleurs d'une soumission datée du 7 mai 2020, mais aucun élément du dossier ne permet de retenir que cette soumission, qui est antérieure à la conclusion du contrat de sous-traitance litigieux, aurait été intégrée à celui-ci, ni que les travaux y figurant auraient été effectivement exigés par E______ SA et exécutés. L'on ignore également à quelle date se seraient terminés les travaux en question, étant précisé que cette soumission du 7 mai 2020 n'est mentionnée nulle part dans le procès-verbal de réception du 22 novembre 2022.</w:t>
      </w:r>
    </w:p>
    <w:p>
      <w:r>
        <w:t>- 12/13 -</w:t>
      </w:r>
    </w:p>
    <w:p>
      <w:r>
        <w:t>C/4926/2023</w:t>
      </w:r>
    </w:p>
    <w:p>
      <w:r>
        <w:t>Il ressort de ce qui précède que la requête d'hypothèque légale déposée par les appelantes le 17 mars 2023 est tardive, les travaux faisant l'objet du contrat du sous-traitance du 4 septembre 2020 ayant été achevés au plus tard le 8 avril 2022.</w:t>
      </w:r>
    </w:p>
    <w:p>
      <w:r>
        <w:t>L'ordonnance querellée sera par conséquent confirmée. 5. Dans la mesure où il n'est pas fait droit aux conclusions des appelantes tendant à l'inscription d'une hypothèque légale sur l'immeuble dont l'intimée est propriétaire, il n'y a pas lieu d'ordonner le versement de sûretés. L'intimée ne fournit d'ailleurs aucune motivation à l'appui de ses conclusions en ce sens. 6. Les appelantes, qui succombent, seront condamnées aux frais d'appel (art. 106 al. 1 CPC).</w:t>
      </w:r>
    </w:p>
    <w:p>
      <w:r>
        <w:t>Les frais judiciaires d'appel seront fixés à 1'640 fr. (art. 13, 26 et 35 RTFMC) et compensés avec l'avance versée par les appelantes, acquise à l'Etat de Genève.</w:t>
      </w:r>
    </w:p>
    <w:p>
      <w:r>
        <w:t>Une indemnité de 5'000 fr. à titre de dépens d’appel, TVA et débours inclus, sera allouée à l'intimée (art. 84, 85, 88 et 90 RTFMC). * * * * *</w:t>
      </w:r>
    </w:p>
    <w:p>
      <w:r>
        <w:t>- 13/13 -</w:t>
      </w:r>
    </w:p>
    <w:p>
      <w:r>
        <w:t>C/4926/2023 PAR CES MOTIFS, La Chambre civile : A la forme : Déclare recevable l'appel interjeté par A______ SA et B______ SA contre l'ordonnance OTPI/634/2023 rendue le 9 octobre 2023 par le Tribunal de première instance dans la cause C/4926/2023 SP. Au fond : Confirme l'ordonnance querellée. Déboute les parties de toutes autres conclusions. Sur les frais : Met à la charge de A______ SA et B______ SA, solidairement entre elles, les frais judiciaires d'appel, fixés à 1'640 fr. et compensés avec l'avance versée, acquise à l'Etat de Genève. Condamne solidairement A______ SA et B______ SA à verser 5'000 fr. à la FONDATION C______ à titre de dépens d'appel. Siégeant : Monsieur Laurent RIEBEN, président; Madame Fabienne GEISINGER-MARIETHOZ, Madame Nathalie RAPP,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mai 2020, les appelantes allèguent ainsi être intervenues "fin novembre 2022" dans la cuisine de H______ "pour le compte de E______ SA et de H______".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