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ACJC/291/2014 vom 10. März 2014</w:t>
      </w:r>
    </w:p>
    <w:p>
      <w:r>
        <w:t>GE Cour de justice, 2014-03-10, FR</w:t>
      </w:r>
    </w:p>
    <w:p>
      <w:r>
        <w:rPr>
          <w:b/>
        </w:rPr>
        <w:t xml:space="preserve">Quelle: </w:t>
      </w:r>
      <w:r>
        <w:t>https://mcp.opencaselaw.ch/entscheid/ge_gerichte_ACJC_291_2014</w:t>
      </w:r>
    </w:p>
    <w:p>
      <w:r>
        <w:t>FR: GE_GERICHTE ACJC/291/2014 du 10 mars 2014</w:t>
      </w:r>
    </w:p>
    <w:p>
      <w:r>
        <w:t>IT: GE_GERICHTE ACJC/291/2014 del 10 marzo 2014</w:t>
      </w:r>
    </w:p>
    <w:p>
      <w:pPr>
        <w:pStyle w:val="Heading2"/>
      </w:pPr>
      <w:r>
        <w:t>Erwägungen</w:t>
      </w:r>
    </w:p>
    <w:p>
      <w:r>
        <w:rPr>
          <w:b/>
        </w:rPr>
        <w:t>E. 1.1</w:t>
      </w:r>
    </w:p>
    <w:p>
      <w:r>
        <w:t>L'appel est recevable contre les décisions finales et les décisions incidentes de première instance (art. 308 al. 1 let. a CPC). Dans les affaires patrimoniales, l'ap- 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BSK ZPO, 2ème éd., 2013, no 9 ad art. 308). Dans une contestation portant sur la validité d'une résiliation de bail, la valeur liti- gieuse est égale au loyer de la période minimale pendant laquelle le contrat sub- 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136 III 196 consid. 1.1 et 137 III 389; arrêts du Tribunal fédéral 4A_367/2010 du 4 octobre 2010 consid. 1.1; 4A_127/2008 du 2 juin 2008 consid. 1.1; 4A_516/2007 du 6 mars 2008 consid. 1.1). Quant au dies a quo, il court dès la fin de la procédure judiciaire. Dès lors que la valeur litigieuse doit être déterminable lors du dépôt du recours, il convient de se référer à la date de la décision cantonale (arrêts du Tribunal fédéral 4A_187/2011 du 9 juin 2011 et 4A_189/2011 du 4 juillet 2011).</w:t>
      </w:r>
    </w:p>
    <w:p>
      <w:r>
        <w:rPr>
          <w:b/>
        </w:rPr>
        <w:t>E. 1.2</w:t>
      </w:r>
    </w:p>
    <w:p>
      <w:r>
        <w:t>En l'espèce, le loyer annuel des locaux, charges non comprises, s'élève à 7'320 fr.</w:t>
      </w:r>
    </w:p>
    <w:p>
      <w:r>
        <w:t>- 6/11 -</w:t>
      </w:r>
    </w:p>
    <w:p>
      <w:r>
        <w:t>C/5483/2011 En prenant en compte uniquement la durée de protection de trois ans et le montant net du loyer, la valeur litigieuse est largement supérieure à 10'000 fr. (7'320 fr. x 3 = 21'960 fr.).</w:t>
      </w:r>
    </w:p>
    <w:p>
      <w:r>
        <w:rPr>
          <w:b/>
        </w:rPr>
        <w:t>E. 1.3</w:t>
      </w:r>
    </w:p>
    <w:p>
      <w:r>
        <w:t>L'appel a été interjeté dans le délai et suivant la forme prescrits par la loi (art. 130, 131, 311 al. 1 CPC). Il est ainsi recevable.</w:t>
      </w:r>
    </w:p>
    <w:p>
      <w:r>
        <w:rPr>
          <w:b/>
        </w:rPr>
        <w:t>E. 1.4</w:t>
      </w:r>
    </w:p>
    <w:p>
      <w:r>
        <w:t>La Cour revoit la cause avec un plein pouvoir d'examen (art. 310 CPC; HOHL, Procédure civile, tome II, 2010, n. 2314 et 2416; RETORNAZ, op. cit., p. 349 ss, n. 121).</w:t>
      </w:r>
    </w:p>
    <w:p>
      <w:r>
        <w:rPr>
          <w:b/>
        </w:rPr>
        <w:t>E. 1.5</w:t>
      </w:r>
    </w:p>
    <w:p>
      <w:r>
        <w:t>Les maximes de procédure qui ont prévalu en première instance s'appliquent également en appel (VOLKART, DIKE-Komm-ZPO, 2011, n° 7 ss ad art. 316 CPC; REETZ/HILBER, Kommentar zur schweizerischen Zivilprozessordnung, 2013, n° 16 ad art. 316 ZPO).</w:t>
      </w:r>
    </w:p>
    <w:p>
      <w:r>
        <w:rPr>
          <w:b/>
        </w:rPr>
        <w:t>E. 2.1</w:t>
      </w:r>
    </w:p>
    <w:p>
      <w:r>
        <w:t>L'appelante fait grief aux premiers juges d'avoir constaté que la résiliation du</w:t>
      </w:r>
    </w:p>
    <w:p>
      <w:r>
        <w:rPr>
          <w:b/>
        </w:rPr>
        <w:t>E. 2.2</w:t>
      </w:r>
    </w:p>
    <w:p>
      <w:r>
        <w:t>Le locataire peut résilier le bail moyennant le respect de la forme écrite (art. 266l al. 1 CO). En cas de pluralité de locataires, toutefois, les colocataires doivent agir en commun pour résilier le bail. Le congé doit être donné par tous les héritiers du défunt locataire. A défaut, il est nul (LACHAT, Le bail à loyer, 2008, p. 72 et p. 717). Les héritiers acquièrent de plein droit l'universalité de la succession dès le décès (art. 560 al. 1 et 537 al. 1 CC). S'il y a plusieurs héritiers, tous les droits et les obligations compris dans la succession restent indivis jusqu'au partage (art. 602 al. 1 CC). Le bail continue avec les héritiers qui assument les droits et obligations du défunt (LACHAT, op. cit., p. 715).</w:t>
      </w:r>
    </w:p>
    <w:p>
      <w:r>
        <w:t>- 7/11 -</w:t>
      </w:r>
    </w:p>
    <w:p>
      <w:r>
        <w:t>C/5483/2011 A teneur de l'art. 634 CC, le partage oblige les héritiers dès que les lots ont été composés et reçus (partage réel) ou que l'acte de partage a été passé, étant précisé qu'il ne peut l'être valablement qu'en la forme écrite. Dans les deux cas, le consen- tement de tous les héritiers est nécessaire (SCHAUFELBERGER/KELLER, Commen- taire bâlois, Z6B II, 4ème éd., 2011, n. 1 ad. art. 634 CC). Le partage convenu peut être complet ou partiel (ATF 115 323 consid. 2a = JdT 1991 I 143). L'exécution du partage réel se fait par la tradition des choses mobilières, l'ins- cription au Registre foncier des biens immobiliers, la cession écrite des créances (art. 165 al. 1 CO), etc. (SCHAUFELBERGER/KELLER, op. cit., n. 4 ss ad art. 634 CC). Selon LACHAT, le transfert du bail de locaux d'habitations ou autres, aux condi- tions des art. 164 ss CO relatifs à la cession de créance et des art. 175 ss CO rela- tifs à la reprise de dette, n'est pas pour autant exclu. Ce contrat est un contrat sui generis aux termes duquel il ne s'agit pas seulement de transférer l'usage de la chose louée et les obligations du bailleur, mais également l'ensemble des droits découlant du contrat. Ce contrat se différencie de la cession de créance ordinaire, laquelle n'entraîne pas le transfert des droits essentiels du contrat, tel que le droit de s'en départir ou de le résilier. Le contrat de transfert de locaux d'habitations ou autres doit revêtir la forme écrite. Cette forme de transfert présuppose l'accord du bailleur, qui peut intervenir par écrit, oralement ou même par actes concluants (LACHAT, op. cit., p. 592). Si, après la conclusion du contrat, le bailleur aliène la chose louée ou si elle lui est enlevée dans le cadre d'une poursuite pour dettes ou d'une faillite, le bail passe à l'acquéreur avec la propriété de la chose (art. 261 al. 1 CO).</w:t>
      </w:r>
    </w:p>
    <w:p>
      <w:r>
        <w:rPr>
          <w:b/>
        </w:rPr>
        <w:t>E. 2.3</w:t>
      </w:r>
    </w:p>
    <w:p>
      <w:r>
        <w:t>Les premiers juges ont observé à raison qu'au décès de F______, ses héritiers, soit les intimés et leur mère, étaient devenus titulaires du bail litigieux. Ils ont également retenu à juste titre qu'il ressort des déclarations de B______ que les héritiers avaient expressément réglé le sort des avoirs bancaires laissés par le défunt, les fils héritiers ayant fait donation de leur part respective à leur mère, et celui des meubles de l'appartement par l'abandon de la possession de ces derniers à D______, partageant ainsi partiellement la succession. Ils ont enfin observé que la procédure a permis d'établir que les héritiers n'avaient pas conclu d'acte de partage écrit, au sens de l'art. 634 CC, en ce qui concerne le contrat de bail litigieux, qui aurait valu également contrat de transfert dudit bail, ayant présumé que D______ en deviendrait seule et de plein droit titulaire, ce qui n'est pas le cas. Les premiers juges ont donc considéré que la cession du bail n'avait pu intervenir, faute du respect de la forme écrite de l'acte de partage en relation avec le bail, et que la conviction des cohéritiers n'était pas suffisante à emporter l'attribution du</w:t>
      </w:r>
    </w:p>
    <w:p>
      <w:r>
        <w:t>- 8/11 -</w:t>
      </w:r>
    </w:p>
    <w:p>
      <w:r>
        <w:t>C/5483/2011 bail litigieux à la seule titulaire D______. Se posait donc la question de savoir si les intimés ont abusé de leur droit en revendiquant, après quelque vingt-deux ans, la cotitularité du bail aux côtés de leur mère au moment de la résiliation du bail par celle-ci représentée par sa curatrice (cf. ch. 3 ci-après).</w:t>
      </w:r>
    </w:p>
    <w:p>
      <w:r>
        <w:rPr>
          <w:b/>
        </w:rPr>
        <w:t>E. 2.4</w:t>
      </w:r>
    </w:p>
    <w:p>
      <w:r>
        <w:t>L'argument de l'appelante selon lequel les intimés auraient dû donner un ac- cord écrit à la banque ou une signature pour transférer les avoirs bancaires à leur mère, ne change en rien à la décision des premiers juges, le bail litigieux n'étant pas concerné par ces démarches. Quoi qu'il en soit, l'existence dudit accord ou de ladite signature n'a pas été établie dans la procédure. Qu'il eût été irrecevable devant le Tribunal des baux et loyers, comme le soutient l'appelante, ou recevable, la question pouvant en l'état demeurer ouverte, et qu'il eût été établi à des fins fis- cales ou non, l'acte de donation de B______ à sa mère portant sur sa part des avoirs bancaires lui revenant dans la succession de son père, ne concerne pas non plus le bail litigieux. Au surplus, cet acte n'a été signé ni par D______, ni par C______, de sorte qu'il n'a pas pu valoir acte de partage, contrairement à ce que soutient l'appelante. 3. 3.1 L'appelante estime qu'il est totalement abusif, insoutenable et arbitraire de pré- tendre que les héritiers seraient restés cotitulaires du bail pendant 24 ans après le décès de F______, d'élever des prétentions successorales sur un bail plus de 22 ans après l'ouverture de la succession, alors que l'héritier qui prétend aux droits du bail aurait quitté le logement concerné de nombreuses années auparavant, perdant ainsi son intérêt au contrat, et, enfin, de soutenir que la précédente régie aurait commis une négligence dans l'identification de ses cocontractants, alors que c'est B______ qui aurait été négligent en omettant de s'annoncer auprès de la régie. 3.2 La conclusion d'un acte de partage suppose que tous les héritiers aient mani- festé de manière concordante leurs volontés, en application des règles générales du droit des obligations. La convention de partage doit faire clairement ressortir la volonté de tous les héritiers de se voir définitivement liés par le partage, intégral ou partiel, qu'ils ont arrêté; elle doit contenir toutes les indications permettant d'exécuter ce partage intégral ou partiel sans qu'il soit nécessaire de s'entendre sur d'autres points. L'accord de partage doit ainsi au moins prévoir quel bien revient à quel héritier (art. 1 CO; SCHAUFELBERGER/KELLER, op. cit., n. 15 et 19 ad art. 634 CC). La condition de la forme écrite de l'acte de partage peut être remplie lorsque l'ac- cord des héritiers résulte d'un échange de courrier (ATF 118 II 395 consid. 3). Chacun est tenu d'exercer ses droits et d'exécuter ses obligations selon les règles de la bonne foi (art. 2 al. 1 CC). L'abus manifeste d'un droit n'est pas protégé par la loi (art. 2 al. 2 CC), comme par exemple l'absence d'intérêt à l'exercice d'un droit, l'utilisation contraire à son but d'une institution juridique, la disproportion</w:t>
      </w:r>
    </w:p>
    <w:p>
      <w:r>
        <w:t>- 9/11 -</w:t>
      </w:r>
    </w:p>
    <w:p>
      <w:r>
        <w:t>C/5483/2011 grossière des intérêts en présence, l'exercice d'un droit sans ménagement, l'attitude contradictoire (ATF 120 II 105 consid. 3a et références citées; plus récemment 4A_38/2013 du 12 avril 2013 consid. 2.1 non publié aux ATF 139 II 249). L'exécution volontaire du contrat entaché d'un vice de forme est un élément d'ap- préciation particulièrement important. Elle n'exclut pas absolument la nullité, mais on ne retiendra un abus de droit que si cette solution s'impose, eu égard à toutes les autres circonstances de l'affaire. Parmi ces circonstances figure notamment l'attitude des parties lors de la conclusion du contrat et par la suite. Le juge atta- chera une importance décisive à la protection de la confiance et à la réprobation qui frappe l'attitude contradictoire (la confiance inspirée par leur comportement antérieur lie les parties; ATF 116 II 700 consid. 3 = JdT 1991 I 643; ATF 112 II 330 consid. 2 et références citées = JdT 1987 I 70). 3.3 Les premiers juges ont considéré, conformément aux déclarations de B______, que les héritiers ont expressément réglé le sort des avoirs bancaires laissés par le défunt par donation des fils héritiers de leur part à leur mère et l'abandon en faveur de cette dernière des meubles garnissant l'appartement et que rien n'avait été prévu en ce qui concerne le contrat de bail, présumant que D______ en devenait seule titulaire de plein droit; au regard des exigences de l'art. 165 al.1 CO, disposant que la cession n'est valable que si elle a été constatée par écrit, la conviction des deux héritiers n'était pas suffisante pour emporter l'at- tribution des droits sur le bail litigieux à la seule D______, faisant que les demandeurs étaient restés cotitulaires du bail aux côtés de leur mère. Seule la volonté commune des héritiers est efficace pour opérer le partage et la volonté de la bailleresse de poursuivre les relations de bail avec la seule D______ est restée sans effet sur l'identité des parties au contrat, de sorte que les cohéritiers, devenus cotitulaires du bail par succession, le sont conséquemment restés. 3.4 Eu égard au temps écoulé depuis le décès survenu en 1989, les premiers juges ont examiné si la revendication des demandeurs quant à leur titularité du bail représenterait un abus de droit au sens de l'art. 2 al.2 CC; ils ont répondu par la négative au regard du domicile de B______ dans les locaux depuis 2004 et les circonstances de la déclaration de résiliation de bail par la tutrice de D______. La Cour relève que les demandeurs n'ont pas manifesté de comportements contradictoires sur les nombreuses années qui ont suivi le décès. La lettre que B______ a préparée pour sa mère en date du 11 septembre 2009, laquelle mentionne uniquement D______ comme locataire et signée par elle-seule, l'a été en réponse à la notification d'une majoration de loyer notifiée semblablement à la seule D______ qui déclarait ainsi l'accepter. Elle n'est pas l'œuvre d'une rédaction particulière mais s'inscrit dans la voie tracée par la régie.</w:t>
      </w:r>
    </w:p>
    <w:p>
      <w:r>
        <w:t>- 10/11 -</w:t>
      </w:r>
    </w:p>
    <w:p>
      <w:r>
        <w:t>C/5483/2011 3.5 En l'espèce, la procédure a permis d'établir que les intimés étaient dans l'igno- rance de la nécessité de la forme écrite dans le cadre du partage relatif au bail, non seulement au moment de la succession, mais également jusqu'au moment de la résiliation du bail par D______, représentée par sa curatrice. Les héritiers étaient donc dans l'erreur sur ce point; il n'en reste pas moins qu'ils n'ont pas commis un abus de droit en la présente espèce en revendiquant la dévolution du bail en leur faveur, lorsqu'ils furent informés des conséquences juridiques recouvrant les circonstances de la cause. Le fait que l'immeuble ait changé de main et que les régies mandataires se sont succédées ne modifie en rien les conséquences juri- diques sus-évoquées, ni le fait que l'actuelle bailleresse ait estimé, de bonne foi - mais à tort -, que D______ aurait été seule locataire. 4. En conséquence, la résiliation du bail n'est pas acquise, faute pour les cohéritiers de l'avoir consentie et d'avoir contresigné la déclaration de résiliation, les intimés restant cotitulaires du contrat. La bailleresse n'est donc pas en droit d'exiger l'évacuation des intimés, la résilia- tion n'étant pas valable. Le jugement attaqué sera donc confirmé. 5. A teneur de l'art. 22 al. 1 LaCC, il n'est pas prélevé de frais dans les causes sou- mises à la juridiction des baux et loyers, étant rappelé que l'art. 116 al. 1 CPC autorise les cantons à prévoir des dispenses de frais dans d'autres litiges que ceux visés à l'art. 114 CPC (arrêt du Tribunal fédéral 4A_607/2012 du 21 février 2013 consid. 2.6). 6. La valeur litigieuse est supérieure à 15'000 fr. au sens de la LTF. * * * * *</w:t>
      </w:r>
    </w:p>
    <w:p>
      <w:r>
        <w:t>- 11/11 -</w:t>
      </w:r>
    </w:p>
    <w:p>
      <w:r>
        <w:t>C/5483/2011 PAR CES MOTIFS, La Chambre des baux et loyers : A la forme : Déclare recevable l'appel interjeté le 7 mai 2013 par A______ SA contre le jugement JTBL/333/2013 rendu le 22 mars 2013 par le Tribunal des baux et loyers dans la cause C/5483/2011-2-OSD. Au fond : Confirme ce jugement. Dit que la procédure est gratuite. Déboute les parties de toutes autres conclusions. Siégeant : Madame Sylvie DROIN, présidente; Madame Elena SAMPEDRO et Monsieur Laurent RIEBEN, juges; Monsieur Alain MAUNOIR et Monsieur Pierre DAUDIN, juges assesseurs; Madame Maïté VALENTE, greffière.</w:t>
      </w:r>
    </w:p>
    <w:p>
      <w:r>
        <w:t>La présidente : Sylvie DROIN</w:t>
      </w:r>
    </w:p>
    <w:p>
      <w:r>
        <w:t>La greffière : Maïté VALENTE</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1.2 + 6).</w:t>
      </w:r>
    </w:p>
    <w:p>
      <w:r>
        <w:rPr>
          <w:b/>
        </w:rPr>
        <w:t>E. 7</w:t>
      </w:r>
    </w:p>
    <w:p>
      <w:r>
        <w:t>janvier 2011 concernant le bail litigieux n'était pas valable et que les parties étaient liées par le contrat de bail du 19 septembre 1972. En substance, elle sou- tient que la succession du père des intimés a été liquidée, ces derniers ayant décidé de laisser l'intégralité de la succession, dont le bail de l'appartement concerné, à leur mère, D______, qui aurait donc intégralement reçu ladite succession, de sorte que la résiliation du bail avait été correctement donnée par celle-ci, représentée par le Service des tutelles d'adultes. Elle considère également que c'est à tort que les premiers juges ont retenu que les art. 164 et ss CO s'appliquaient, puisque ces articles ne concerneraient pas le transfert d’un contrat de bail. Elle soutient que les héritiers pouvaient convenir d'un commun accord et sans forme particulière de l'attribution du bail à leur mère, les intimés ayant depuis longtemps quitté le logement concerné pour s'établir avec leur famille respective ailleurs, peu importe que ceux-ci auraient eu connaissance ou non du fait que le bail passait aux héritiers.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