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ACJC/28/2019 vom 11. Januar 2019</w:t>
      </w:r>
    </w:p>
    <w:p>
      <w:r>
        <w:t>GE Cour de justice, 2019-01-11, FR</w:t>
      </w:r>
    </w:p>
    <w:p>
      <w:r>
        <w:rPr>
          <w:b/>
        </w:rPr>
        <w:t xml:space="preserve">Quelle: </w:t>
      </w:r>
      <w:r>
        <w:t>https://mcp.opencaselaw.ch/entscheid/ge_gerichte_ACJC_28_2019</w:t>
      </w:r>
    </w:p>
    <w:p>
      <w:r>
        <w:t>FR: GE_GERICHTE ACJC/28/2019 du 11 janvier 2019</w:t>
      </w:r>
    </w:p>
    <w:p>
      <w:r>
        <w:t>IT: GE_GERICHTE ACJC/28/2019 del 11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w:t>
      </w:r>
    </w:p>
    <w:p>
      <w:r>
        <w:t>- 4/6 -</w:t>
      </w:r>
    </w:p>
    <w:p>
      <w:r>
        <w:t>C/7903/2018 relatif au code de procédure civile suisse, FF 2006 6841 ss., p. 6984; cf. également ATF 130 II 449 consid. 4.1; arrêt du Tribunal fédéral 5A_303/2011 du 27 septembre 2011 consid. 2).</w:t>
      </w:r>
    </w:p>
    <w:p>
      <w:r>
        <w:rPr>
          <w:b/>
        </w:rPr>
        <w:t>E. 1.3</w:t>
      </w:r>
    </w:p>
    <w:p>
      <w:r>
        <w:t>La maxime des débats s'applique et la preuve des faits allégués doit être apportée par titres (art. 55 al. 1, 255 let. a a contrario et 254 CPC). En outre, la maxime de disposition s'applique (art. 58 al. 1 CPC).</w:t>
      </w:r>
    </w:p>
    <w:p>
      <w:r>
        <w:rPr>
          <w:b/>
        </w:rPr>
        <w:t>E. 2</w:t>
      </w:r>
    </w:p>
    <w:p>
      <w:r>
        <w:t>Le recourant reproche au premier juge de ne pas avoir pris en considération les faits qu'il avait allégués, à savoir qu'il n'avait pu avoir connaissance de l'adresse de l'intimé et de l'existence de biens en Suisse à séquestrer qu'en 2015, de sorte que le délai de prescription de sa créance n'avait commencé à courir qu'à cette date.</w:t>
      </w:r>
    </w:p>
    <w:p>
      <w:r>
        <w:rPr>
          <w:b/>
        </w:rPr>
        <w:t>E. 2.1</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2.2</w:t>
      </w:r>
    </w:p>
    <w:p>
      <w:r>
        <w:t>L'art. 128 ch. 2 CO dispose que se prescrivent par cinq ans les actions pour fournitures de vivres, pension alimentaire et dépenses d'auberge. L'art. 134 al. 1 ch. 6 CO prévoit la suspension de la prescription tant qu'il est impossible de faire valoir la créance devant un tribunal suisse. Une telle impossibilité doit résulter de circonstances objectives, indépendantes de la situation personnelle du créancier, en particulier de l'inexistence d'un for dans le pays. Cette interprétation est en adéquation avec la jurisprudence selon laquelle la prescription court dès la violation du contrat, et non pas dès le moment où le créancier a connaissance du dommage (ATF 90 II 428 consid. 9). Est ainsi fortement relativisée la portée de l'adage selon lequel la prescription ne court pas contre celui qui ne peut agir en justice (« contra non valentem agere non currit praescriptio »; ATF 124 III 449 consid. 4a).</w:t>
      </w:r>
    </w:p>
    <w:p>
      <w:r>
        <w:rPr>
          <w:b/>
        </w:rPr>
        <w:t>E. 2.3</w:t>
      </w:r>
    </w:p>
    <w:p>
      <w:r>
        <w:t>En l'occurrence, les créances en poursuite datent de la période 2004-2007. En 2008, puis en 2014, la recourante n'a, à teneur des pièces produites, pas pu obtenir des autorités compétentes en la matière (OCP, SEM) de renseignements pour localiser l'intimé. Ce n'est que lorsque celui-ci a atteint l'âge légal de l'AVS que le recourant, se tournant vers la Caisse suisse de compensation, a obtenu les coordonnées de l'intimé et connu l'existence de biens en Suisse. Le recourant a dès lors pu diligenter une procédure de séquestre.</w:t>
      </w:r>
    </w:p>
    <w:p>
      <w:r>
        <w:t>Il y a dès lors lieu de retenir que ce n'est qu'à compter de la réception du courrier, daté de 30 avril 2015, provenant de la Caisse suisse de compensation, qu'il était possible pour le recourant de faire valoir sa créance devant les tribunaux suisses.</w:t>
      </w:r>
    </w:p>
    <w:p>
      <w:r>
        <w:t>- 5/6 -</w:t>
      </w:r>
    </w:p>
    <w:p>
      <w:r>
        <w:t>C/7903/2018 Le délai de prescription n'a donc commencé à courir qu'à cette date, si bien que la créance du recourant n'est pas prescrite, contrairement à ce qu'a retenu le Tribunal.</w:t>
      </w:r>
    </w:p>
    <w:p>
      <w:r>
        <w:t>La décision attaquée sera dès lors annulée.</w:t>
      </w:r>
    </w:p>
    <w:p>
      <w:r>
        <w:t>L'intimé n'ayant fait valoir aucun autre moyen fondé sur l'art. 81 LP, et les conditions de l'art. 80 LP étant réalisées, il sera statué à nouveau dans le sens que la mainlevée définitive de l'opposition formée au commandement de payer sera prononcée pour le poste 1 et pour le poste 2 à concurrence des frais judiciaires exposés (400 fr.), les frais du procès-verbal de séquestre suivant le sort de la poursuite (art. 68 LP).</w:t>
      </w:r>
    </w:p>
    <w:p>
      <w:r>
        <w:rPr>
          <w:b/>
        </w:rPr>
        <w:t>E. 3</w:t>
      </w:r>
    </w:p>
    <w:p>
      <w:r>
        <w:t>L'intimé, qui succombe, supportera les frais des deux instances (art. 106 al. 1 CPC), qui seront arrêtés à 1'000 fr. (art. 48, 61 OELP), compensés avec les avances déjà opérées, acquises à l'Etat de Genève (art. 111 al. 1 CPC). Il sera condamné à rembourser le recourant qui a procédé aux dites avances.</w:t>
      </w:r>
    </w:p>
    <w:p>
      <w:r>
        <w:t>Il n'y a pas lieu à allocation de dépens (art. 95 al. 3 let. c CPC). * * * * *</w:t>
      </w:r>
    </w:p>
    <w:p>
      <w:r>
        <w:t>- 6/6 -</w:t>
      </w:r>
    </w:p>
    <w:p>
      <w:r>
        <w:t>C/7903/2018 PAR CES MOTIFS, La Chambre civile : A la forme : Déclare recevable le recours formé le 22 octobre 2018 par ETAT DE GENEVE, DCS, SERVICE CANTONAL D'AVANCE ET DE RECOUVREMENT DES PENSIONS ALIMENTAIRES (SCARPA) contre le jugement JTPI/15775/2018 rendu le 9 octobre 2018 par le Tribunal de première instance dans la cause C/7903/2018-8 SML. Au fond : Annule ce jugement. Cela fait et statuant à nouveau : Prononce la mainlevée définitive de l'opposition formée au commandement de payer poursuite n° 1______ pour le poste 1, ainsi que pour le poste 2 à concurrence de 400 fr. Déboute les parties de toutes autres conclusions. Sur les frais de première et de seconde instance : Arrête les frais judiciaires à 1'000 fr., compensés avec les avances opérées, acquises aux Services financiers du Pouvoir judiciaire de l'Etat de Genève, et les met à charge de A______. Condamne A______ à verser à l'ETAT DE GENEVE, soit pour lui le SCARPA, 1'000 fr.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