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ACJC/288/2026 vom 17. Februar 2026</w:t>
      </w:r>
    </w:p>
    <w:p>
      <w:r>
        <w:t>GE Cour de justice, 2026-02-17, FR</w:t>
      </w:r>
    </w:p>
    <w:p>
      <w:r>
        <w:rPr>
          <w:b/>
        </w:rPr>
        <w:t xml:space="preserve">Quelle: </w:t>
      </w:r>
      <w:r>
        <w:t>https://mcp.opencaselaw.ch/entscheid/ge_gerichte_ACJC_288_2026</w:t>
      </w:r>
    </w:p>
    <w:p>
      <w:r>
        <w:t>FR: GE_GERICHTE ACJC/288/2026 du 17 février 2026</w:t>
      </w:r>
    </w:p>
    <w:p>
      <w:r>
        <w:t>IT: GE_GERICHTE ACJC/288/2026 del 17 febbraio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w:t>
      </w:r>
    </w:p>
    <w:p>
      <w:r>
        <w:t>- 4/8 -</w:t>
      </w:r>
    </w:p>
    <w:p>
      <w:r>
        <w:t>C/14188/2025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déposées par la recourante dans le délai de recours ou dans le délai imparti par la Cour sont recevables.</w:t>
      </w:r>
    </w:p>
    <w:p>
      <w:r>
        <w:rPr>
          <w:b/>
        </w:rPr>
        <w:t>E. 2</w:t>
      </w:r>
    </w:p>
    <w:p>
      <w:r>
        <w:t>La recourante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du Tribunal fédéral 5A_183/2024 du 10 mai 2024 consid. 3.2 et les références; 5A_83/2024 du 13 mars 2024, consid. 4.1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w:t>
      </w:r>
    </w:p>
    <w:p>
      <w:r>
        <w:t>- 5/8 -</w:t>
      </w:r>
    </w:p>
    <w:p>
      <w:r>
        <w:t>C/14188/2025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du Tribunal fédéral 5A_191/2024 du 14 août 2024 consid. 3.1; 5A_845/2023 du 17 avril 2024 consid. 2; 5A_949/2023 du 7 février 2024 consid. 3.1.2; 5A_891/2021 du 28 janvier 2022 consid. 6.1.2).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du Tribunal fédéral 5A_191/2024 précité loc. cit.; 5A_845/2023 précité loc. cit.; 5A_891/2021 précité loc. cit.; 5A_1040/2021 du 24 janvier 2022 consid. 3.1.2; GIROUD/THEU SIMONI, in Basler Kommentar, SchKG II, 3ème éd. 2021, n° 26b ad art. 174 LP).</w:t>
      </w:r>
    </w:p>
    <w:p>
      <w:r>
        <w:rPr>
          <w:b/>
        </w:rPr>
        <w:t>E. 2.2.1</w:t>
      </w:r>
    </w:p>
    <w:p>
      <w:r>
        <w:t>En l'espèce, le Tribunal avait accordé à la recourante, lors de l'audience du 26 août 2025, un délai de cinq jours pour déposer la quittance pour solde de l'Office des poursuites, ce qu'elle n'a pas fait, ladite quittance n'ayant été déposée qu'avec le recours. La recourante soutient avoir soldé sa dette avant que le jugement du Tribunal ait été rendu. Elle a certes payé un montant de 401 fr. 10 le 19 septembre 2025, mais</w:t>
      </w:r>
    </w:p>
    <w:p>
      <w:r>
        <w:t>- 6/8 -</w:t>
      </w:r>
    </w:p>
    <w:p>
      <w:r>
        <w:t>C/14188/2025 ce paiement n'a pas soldé la poursuite puisque, comme la recourante l'indique elle- même, elle a payé le solde de 155 fr. le 4 décembre 2025 seulement, ce qui ressort de la quittance pour solde de l'Office des poursuites. La recourante relève encore qu'elle ne s'est pas présentée devant le Tribunal le 25 novembre 2025 car elle n'avait pas reçu de convocation. Le Tribunal n'a toutefois pas tenu d'audience à cette date-là, qui correspond uniquement à celle à laquelle le jugement attaqué a été rendu par le Tribunal. Pour le surplus, il convient de relever ce qui suit.</w:t>
      </w:r>
    </w:p>
    <w:p>
      <w:r>
        <w:rPr>
          <w:b/>
        </w:rPr>
        <w:t>E. 2.2.2</w:t>
      </w:r>
    </w:p>
    <w:p>
      <w:r>
        <w:t>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w:t>
      </w:r>
    </w:p>
    <w:p>
      <w:r>
        <w:rPr>
          <w:b/>
        </w:rPr>
        <w:t>E. 2.2.3</w:t>
      </w:r>
    </w:p>
    <w:p>
      <w:r>
        <w:t>La recourante soutient qu'elle a des commandes en cours et "des appels d'offre pour 2026", de sorte qu'elle est solvable. Le bilan de la recourante au 31 décembre 2024 – établi par son associé gérant – fait certes état de 117'535 fr. de trésorerie, mais la précitée n'a pas produit de relevé bancaire, ce qui ne permet pas d'apprécier si elle dispose effectivement de liquidités lui permettant de solder à brève ou même moyenne échéance ses dettes. Elle fait l'objet de poursuites non soldées d'un montant non négligeable de 52'029 fr. Son activité a par ailleurs enregistré des pertes durant deux des trois derniers exercices et, en dernier lieu, en 2024, une perte de 34'407 fr. et un faible bénéfice pour le surplus de 9'000 fr. Il ressort par ailleurs des comptes 2024 de la recourante qu'elle a une dette totale de 89'985 fr. envers les "institutions de prévoyance", qui se recoupe vraisemblablement avec les montants pour lesquels elle fait l'objet de poursuites, mais pas uniquement puisque les poursuites pour des créances de droit public s'élèvent à 46'619 fr. seulement, ce qui représente une différence de 43'366 fr. qui s’ajoute aux montants pour lesquels elle fait l’objet de poursuites. La recourante a produit plusieurs factures, dont elle n'a pas indiqué si elles avaient été réglées, en particulier celles d'août et octobre 2025. Elle a également produit des appels d'offres, pour des travaux dont il n'est pas rendu vraisemblable qu'ils lui auraient été attribués. L'état des commandes en cours n'est pas davantage connu. Au vu de ce qui précède, la recourante fait l'objet de 12 poursuites pour plus de 50'000 fr. Elle n'a rendu vraisemblable ni sa capacité de disposer de liquidités suffisantes pour payer ses dettes échues, ni que sa situation pourrait s'améliorer à plus ou moins brève échéance pour s'en acquitter, son activité ayant été déficitaire,</w:t>
      </w:r>
    </w:p>
    <w:p>
      <w:r>
        <w:t>- 7/8 -</w:t>
      </w:r>
    </w:p>
    <w:p>
      <w:r>
        <w:t>C/14188/2025 voire seulement légèrement bénéficiaire, durant les trois dernière années. La recourante n'a dès lors pas rendu vraisemblable sa solvabilité. Le recours, infondé, sera dès lors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de recours (art. 106 al. 1 CPC), arrêtés à 220 fr. (art. 52 et 61 OELP) et compensés avec l'avance fournie, qui reste acquise à l'Etat de Genève (art. 111 al. 1 CPC). Il ne sera pas alloué de dépens de recours à l'intimée, qui comparaît en personne et n'a pas répondu au recours. * * * * *</w:t>
      </w:r>
    </w:p>
    <w:p>
      <w:r>
        <w:t>- 8/8 -</w:t>
      </w:r>
    </w:p>
    <w:p>
      <w:r>
        <w:t>C/14188/2025 PAR CES MOTIFS, La Chambre civile : A la forme : Déclare recevable le recours interjeté par A______ SÀRL contre le jugement JTPI/16278/2025 rendu le 25 novembre 2025 par le Tribunal de première instance dans la cause C/14188/2025–22 SFC. Au fond : Confirme le jugement querellé, la faillite de A______ SÀRL prenant effet le 17 février 2026 à 12h. Déboute les parties de toutes autres conclusions. Sur les frais : Arrête les frais judiciaires du recours à 220 fr., les met à la charge de A______ SÀRL et les compense avec l'avance de frais fournie, acquise à l'État de Genève. Dit qu'il n'est pas alloué de dépens de recours. Siégeant : Madame Fabienne GEISINGER-MARIETHOZ, présidente; Monsieur Laurent RIEBEN, Madame Nathalie RAPP,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