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ACJC/285/2021 vom 23. Februar 2021</w:t>
      </w:r>
    </w:p>
    <w:p>
      <w:r>
        <w:t>GE Cour de justice, 2021-02-23, FR</w:t>
      </w:r>
    </w:p>
    <w:p>
      <w:r>
        <w:rPr>
          <w:b/>
        </w:rPr>
        <w:t xml:space="preserve">Quelle: </w:t>
      </w:r>
      <w:r>
        <w:t>https://mcp.opencaselaw.ch/entscheid/ge_gerichte_ACJC_285_2021</w:t>
      </w:r>
    </w:p>
    <w:p>
      <w:r>
        <w:t>FR: GE_GERICHTE ACJC/285/2021 du 23 février 2021</w:t>
      </w:r>
    </w:p>
    <w:p>
      <w:r>
        <w:t>IT: GE_GERICHTE ACJC/285/2021 del 23 febbraio 2021</w:t>
      </w:r>
    </w:p>
    <w:p>
      <w:pPr>
        <w:pStyle w:val="Heading2"/>
      </w:pPr>
      <w:r>
        <w:t>Erwägungen</w:t>
      </w:r>
    </w:p>
    <w:p>
      <w:r>
        <w:rPr>
          <w:b/>
        </w:rPr>
        <w:t>E. 1</w:t>
      </w:r>
    </w:p>
    <w:p>
      <w:r>
        <w:t>1.1.1 Selon l'art. 103 CPC, les décisions relatives aux avances de frais et aux sûretés peuvent faire l'objet d'un recours.</w:t>
      </w:r>
    </w:p>
    <w:p>
      <w:r>
        <w:t>Selon la jurisprudence de la Cour, ces décisions ayant nature d'ordonnance d'instruction, le délai de recours est de 10 jours en application de l'art. 321 al. 2 CPC (cf. ACJC/1125/2020 du 12 août 2020 ou ACJC/1568/2020 du 16 octobre 2020; cf. aussi TAPPY in Commentaire romand Code de procédure civile, 2ème éd. 2019, n. 4 et 11 ad art. 103 CPC; SUTER/VON HOLZEN, in Kommentar zur Schweizerischen Zivilprozessordnung [ZPO], Sutter-Somm/ Hasenböhler/ Leuenberger [éd.], éd. 2016, n. 14 ad art. 99 CPC et n. 8 ad art. 103 CPC).</w:t>
      </w:r>
    </w:p>
    <w:p>
      <w:r>
        <w:t>1.1.2 La nature du procès en constitution de sûretés, qui exige une décision rapide, commande de lui appliquer la procédure sommaire, au moins par analogie, même s'il ne figure pas parmi les cas d'application de cette procédure désignés par la loi (ACJC/359/2019 du 8 mars 2019 consid. 1.3; ACJC/1621/2018 du 20 novembre 2018 consid. 1.2; TAPPY, op. cit., n. 13 ad art. 101 LP).</w:t>
      </w:r>
    </w:p>
    <w:p>
      <w:r>
        <w:t>1.1.3 Aux termes de l'art. 145 al. 1 let. b CPC, les délais (légaux et judiciaires) ne courent pas du 15 juillet au 15 août inclus. Cette disposition ne s'applique pas à la procédure sommaire (art. 145 al. 2 let. b CPC), les parties étant rendues attentives aux exceptions prévues à l'al. 2 (art. 145 al. 3 CPC).</w:t>
      </w:r>
    </w:p>
    <w:p>
      <w:r>
        <w:rPr>
          <w:b/>
        </w:rPr>
        <w:t>E. 1.2</w:t>
      </w:r>
    </w:p>
    <w:p>
      <w:r>
        <w:t>En l'espèce, l'ordonnance attaquée du 7 août 2020 a été reçue par le recourant le 11 août 2020. Le recours a été déposé le 25 août 2020.</w:t>
      </w:r>
    </w:p>
    <w:p>
      <w:r>
        <w:t>Certes, le délai de recours de dix jours contre les décisions en matière de sûretés, qualifiées d'ordonnances d'instruction, est le même que celui prévu pour les décisions prises en procédure sommaire (art. 321 al. 2 CPC). Certes également, dans ces deux cas, le principe de célérité prévaut de sorte que, par parallélisme, on pourrait envisager que les règles s'appliquant à la procédure sommaire en matière de suspension des délais s'appliquent à la décision en matière de sûretés, et ce quand bien même le litige qui oppose les parties est soumis à la procédure ordinaire, comme en l'espèce (cf. GEHRI, OFK-ZPO Kommentar, n. 2 ad art. 321 CPC qui se réfère à REETZ, in Sutter-Somm/Hasenböhler/Leuenberger,</w:t>
      </w:r>
    </w:p>
    <w:p>
      <w:r>
        <w:t>- 5/9 -</w:t>
      </w:r>
    </w:p>
    <w:p>
      <w:r>
        <w:t>C/49/2018 Kommentar zur ZPO, 3ème édition, n. 54 ad remarques préliminaires à l'art. 308 CPC). Toutefois, voulût-on admettre la position défendue par l'intimée sur la question, que l'application éventuelle de l'art. 145 al. 2 CPC n'aurait pas pu être opposée au recourant. En effet, l'attention des parties n'a pas été attirée sur les conséquences prévues par l'al. 2 de l'art. 145, conformément à l'al. 3 de cette disposition, ce que le Tribunal fédéral a rendu obligatoire à titre absolu (ATF 139 III 78 consid. 5.4.3 in fine).</w:t>
      </w:r>
    </w:p>
    <w:p>
      <w:r>
        <w:rPr>
          <w:b/>
        </w:rPr>
        <w:t>E. 1.3</w:t>
      </w:r>
    </w:p>
    <w:p>
      <w:r>
        <w:t>Dès lors, le recours n'est pas tardif et est par conséquent recevable.</w:t>
      </w:r>
    </w:p>
    <w:p>
      <w:r>
        <w:rPr>
          <w:b/>
        </w:rPr>
        <w:t>E. 1.4</w:t>
      </w:r>
    </w:p>
    <w:p>
      <w:r>
        <w:t>En revanche, l'appel interjeté le 9 septembre 2020 contre la même décision est irrecevable.</w:t>
      </w:r>
    </w:p>
    <w:p>
      <w:r>
        <w:rPr>
          <w:b/>
        </w:rPr>
        <w:t>E. 2</w:t>
      </w:r>
    </w:p>
    <w:p>
      <w:r>
        <w:t>2.1.1 L'institution des sûretés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CR CPC, op. cit., n. 3 ad art. 99 CPC; SUTER/VON HOLZEN, in Kommentar zur Schweizerischen Zivilprozessordnung [ZPO], Sutter-Somm/ Hasenböhler/ Leuenberger [éd.], 2ème éd., 2013, n. 2 ad art. 99 CPC). A teneur de l'art. 99 CPC, l'obligation de fournir des sûretés incombe au "demandeur" exclusivement, ce dernier ne pouvant y être astreint que si l'une des quatre conditions alternatives précitées est réalisée (TAPPY, op. cit., n. 16 ad art. 99 CPC). Sont réservés les cas dans lesquels il n'y a pas lieu de fournir des sûretés (art. 99 al. 3 CPC). En outre, certaines conventions internationales ou accords bilatéraux conclus entre la Suisse et un Etat dont le "demandeur" étranger serait résident ou ressortissant peuvent exclure le paiement de telles sûretés (art. 2 CPC). Enfin, le "demandeur" indigent est également exonéré de sûretés (art. 118 al. 1 let. a CPC). 2.1.2 Aux termes de l'art. 99 al. 1 let. a CPC, le demandeur doit, sur requête du défendeur, fournir des sûretés en garantie du paiement des dépens, lorsqu'il n'a pas de domicile ou de siège en Suisse. Selon la jurisprudence,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w:t>
      </w:r>
    </w:p>
    <w:p>
      <w:r>
        <w:t>- 6/9 -</w:t>
      </w:r>
    </w:p>
    <w:p>
      <w:r>
        <w:t>C/49/2018</w:t>
      </w:r>
    </w:p>
    <w:p>
      <w:r>
        <w:rPr>
          <w:b/>
        </w:rPr>
        <w:t>E. 2.2</w:t>
      </w:r>
    </w:p>
    <w:p>
      <w:r>
        <w:t>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w:t>
      </w:r>
    </w:p>
    <w:p>
      <w:r>
        <w:rPr>
          <w:b/>
        </w:rPr>
        <w:t>E. 2.3</w:t>
      </w:r>
    </w:p>
    <w:p>
      <w:r>
        <w:t>En l'espèce, il est admis qu'il n'existe aucun traité international, respectivement aucune convention bilatérale qui libèrerait le recourant de l'obligation de fournir des sûretés. Celui-ci est domicilié au Royaume-Uni, pays qui n'est partie ni à la Convention de La Haye relative à la procédure civile (CLaH 54), ni à la Convention de La Haye tendant à faciliter l'accès international à la justice (CLaH 80). La Suisse et la Grande-Bretagne ont en revanche conclu, le</w:t>
      </w:r>
    </w:p>
    <w:p>
      <w:r>
        <w:rPr>
          <w:b/>
        </w:rPr>
        <w:t>E. 2.4</w:t>
      </w:r>
    </w:p>
    <w:p>
      <w:r>
        <w:t>Le recourant n'a pas remis en cause le montant des sûretés, que le premier juge a fixé en tenant compte des critères pertinents, notamment celui de la valeur litigieuse et de la difficulté de la cause, de sorte que celui-ci sera confirmé.</w:t>
      </w:r>
    </w:p>
    <w:p>
      <w:r>
        <w:t>Aussi, le montant des sûretés fixé par le premier juge sera confirmé.</w:t>
      </w:r>
    </w:p>
    <w:p>
      <w:r>
        <w:rPr>
          <w:b/>
        </w:rPr>
        <w:t>E. 3</w:t>
      </w:r>
    </w:p>
    <w:p>
      <w:r>
        <w:t>décembre 1937, une convention en matière de procédure civile (RS 0.274.183.671). Celle-ci prévoit, à son art. 3 let. b, que les ressortissants d'une partie contractante résidant hors du territoire de l'autre, où sont accomplis les actes de procédure, ne seront pas obligés de fournir des sûretés pour les frais ou les dépens dans tous les cas où ils posséderont dans ce territoire des biens immobiliers ou d'autres biens ne pouvant être l'objet d'un transfert immédiat, suffisants pour couvrir ces frais et dépens. Or, le recourant n'est pas ressortissant britannique. Il ne soutient en outre pas qu'il posséderait en Suisse des biens immobiliers ou d'autres biens au sens de l'article 3 let. b de la Convention mentionnée ci-dessus qui le dispenseraient de devoir fournir des sûretés Il est par ailleurs constant que le recourant n'a pas de domicile ou de siège en Suisse. Ces éléments suffisent pour retenir que le recourant doit, selon le texte clair de l'art. 99 al. 1 CPC, lequel ne confère pas au juge un pouvoir d'appréciation, fournir les sûretés requises.</w:t>
      </w:r>
    </w:p>
    <w:p>
      <w:r>
        <w:t>- 7/9 -</w:t>
      </w:r>
    </w:p>
    <w:p>
      <w:r>
        <w:t>C/49/2018 Les motifs pour lesquels le recourant a introduit l'action en libération de dette importent peu. Il n'est pas non plus décisif que le dépôt de cette action aurait été en quelque sorte provoqué par la partie adverse. Certes, il est vrai que l'action en libération de dette se caractérise par la transposition du rôle des parties, en ce sens que le "créancier" devient défendeur et le "débiteur" devient demandeur. Il s'agit toutefois d'une transposition des rôles prévue par le droit matériel (art. 83 al. 2 LP). L'une des conséquences est que c'est le "débiteur/demandeur" qui est astreint à fournir l'avance de frais de procédure, comme cela a du reste été le cas en l'espèce. Le versement des sûretés obéit à la même logique, de sorte que la partie défenderesse qui sollicite l'application de l'art. 99 CPC dans un procès en libération de dette ne commet pas un abus de droit. Le fait que d'autres procédures opposent les mêmes parties n'est pas déterminant. Le recourant ne saurait non plus tirer parti du fait que l'intimée a fait séquestrer des avoirs détenus par lui auprès d'une banque à Genève. Il sera en effet rappelé que les frais liés à une procédure ordinaire comme une procédure en reconnaissance (ou en libération) de dette ne sont pas inclus dans l'assiette du séquestre (ATF 119 III 63 consid. 4.b.aa; 73 III 133; GILLIERON, Commentaire de la loi fédérale sur la poursuite pour dettes et la faillite, 2003, n. 95 ad art. 275 LP), de sorte que les avoirs placés sous séquestre ne sont pas destinés à couvrir les frais judiciaires et les dépens de la procédure en libération de dette. L'abus de droit ne peut par conséquent pas être retenu. Ces considérations suffisent à sceller le sort du recours. Les conditions prévues à l'art. 99 al. 1 CPC étant alternatives, il sera retenu que le recourant est astreint à fournir des sûretés en application de l'art. 99 al. 1 let. a CPC, ce qui rend superflu l'examen de l'hypothèse prévue à l'art. 99 al. 1 let. c CPC.</w:t>
      </w:r>
    </w:p>
    <w:p>
      <w:r>
        <w:rPr>
          <w:b/>
        </w:rPr>
        <w:t>E. 3.1</w:t>
      </w:r>
    </w:p>
    <w:p>
      <w:r>
        <w:t>Les frais judiciaires du recours, comprenant les frais relatifs à la décision rendue sur la question de l'effet suspensif, seront arrêtés à 1'000 fr. (art. 41 du Règlement fixant le tarif des frais en matière civile - RTFMC) et entièrement compensés avec l'avance de frais de même montant versée par le recourant, qui reste acquise à l'Etat (art. 111 al. 1 CPC). Le recourant ayant été débouté, les frais judiciaires seront entièrement mis à sa charge (art. 106 al. 1 CPC).</w:t>
      </w:r>
    </w:p>
    <w:p>
      <w:r>
        <w:t>- 8/9 -</w:t>
      </w:r>
    </w:p>
    <w:p>
      <w:r>
        <w:t>C/49/2018 L'avance de frais fournie par le recourant pour l'appel, qui a été déclaré irrecevable, lui sera restituée, étant observé que la voie de l'appel était mentionnée sur l'ordonnance.</w:t>
      </w:r>
    </w:p>
    <w:p>
      <w:r>
        <w:rPr>
          <w:b/>
        </w:rPr>
        <w:t>E. 3.2</w:t>
      </w:r>
    </w:p>
    <w:p>
      <w:r>
        <w:t>Le recourant sera par ailleurs condamné à verser à l'intimée 1'500 fr. à titre de dépens, ce montant tenant compte du fait que l'intimée s'est aussi déterminée sur effet suspensif et que dans sa réponse à l'appel, elle a repris les arguments de la réponse au recours. * * * * *</w:t>
      </w:r>
    </w:p>
    <w:p>
      <w:r>
        <w:t>- 9/9 -</w:t>
      </w:r>
    </w:p>
    <w:p>
      <w:r>
        <w:t>C/49/2018 PAR CES MOTIFS, La Chambre civile : A la forme : Déclare recevable le recours interjeté le 25 août 2020 par A______ contre l'ordonnance OTPI/500/2020 rendue le 7 août 2020 par le Tribunal de première instance dans la cause C/49/2018-19. Déclare irrecevable l'appel interjeté le 9 septembre 2020 contre ladite ordonnance. Au fond : Rejette le recours. Déboute les parties de toutes autres conclusions. Sur les frais : Arrête les frais judiciaires du recours à 1'000 fr., les met à la charge de A______ et les compense avec l'avance de frais versée, laquelle reste acquise à l'Etat de Genève. Invite les Services financiers du pouvoir judiciaire à restituer à A______ l'avance de frais de 800 fr. versée dans la procédure d'appel (DCJC/1019/2020 du 17 septembre 2020). Condamne A______ à verser à B______ SA 1'500 fr. à titre de dépens de recours. Siégeant : Madame Jocelyne DEVILLE-CHAVANNE, présidente; Madame Verena PEDRAZZINI RIZZI et Madame Nathalie LANDRY-BARTHE, juges; Madame Jessica ATHMOUNI, greffière.</w:t>
      </w:r>
    </w:p>
    <w:p>
      <w:r>
        <w:t>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