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ACJC/285/2018 vom 12. März 2018</w:t>
      </w:r>
    </w:p>
    <w:p>
      <w:r>
        <w:t>GE Cour de justice, 2018-03-12, FR</w:t>
      </w:r>
    </w:p>
    <w:p>
      <w:r>
        <w:rPr>
          <w:b/>
        </w:rPr>
        <w:t xml:space="preserve">Quelle: </w:t>
      </w:r>
      <w:r>
        <w:t>https://mcp.opencaselaw.ch/entscheid/ge_gerichte_ACJC_285_2018</w:t>
      </w:r>
    </w:p>
    <w:p>
      <w:r>
        <w:t>FR: GE_GERICHTE ACJC/285/2018 du 12 mars 2018</w:t>
      </w:r>
    </w:p>
    <w:p>
      <w:r>
        <w:t>IT: GE_GERICHTE ACJC/285/2018 del 12 marzo 2018</w:t>
      </w:r>
    </w:p>
    <w:p>
      <w:pPr>
        <w:pStyle w:val="Heading2"/>
      </w:pPr>
      <w:r>
        <w:t>Regeste</w:t>
      </w:r>
    </w:p>
    <w:p>
      <w:r>
        <w:t>Résumé: NULLITÉ DES AVIS DE FIXATION DU LOYER INITIAL - ABUS DE DROIT Commet un abus de droit le locataire qui se prévaut de la nullité des avis de fixation du loyer initial - lesquels ne portent pas sur l'objet réellement loué - lorsqu'il a sciemment participé à une transaction visant à contourner les dispositions de la LDTR.</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