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ACJC/280/2023 vom 28. Februar 2023</w:t>
      </w:r>
    </w:p>
    <w:p>
      <w:r>
        <w:t>GE Cour de justice, 2023-02-28, FR</w:t>
      </w:r>
    </w:p>
    <w:p>
      <w:r>
        <w:rPr>
          <w:b/>
        </w:rPr>
        <w:t xml:space="preserve">Quelle: </w:t>
      </w:r>
      <w:r>
        <w:t>https://mcp.opencaselaw.ch/entscheid/ge_gerichte_ACJC_280_2023</w:t>
      </w:r>
    </w:p>
    <w:p>
      <w:r>
        <w:t>FR: GE_GERICHTE ACJC/280/2023 du 28 février 2023</w:t>
      </w:r>
    </w:p>
    <w:p>
      <w:r>
        <w:t>IT: GE_GERICHTE ACJC/280/2023 del 28 febbraio 2023</w:t>
      </w:r>
    </w:p>
    <w:p>
      <w:pPr>
        <w:pStyle w:val="Heading2"/>
      </w:pPr>
      <w:r>
        <w:t>Erwägungen</w:t>
      </w:r>
    </w:p>
    <w:p>
      <w:r>
        <w:rPr>
          <w:b/>
        </w:rPr>
        <w:t>E. 28</w:t>
      </w:r>
    </w:p>
    <w:p>
      <w:r>
        <w:t>février 2019, soit l'absence de couverture de la zone sous radiateurs et une différence de niveau dans la jonction entre le parquet et le carrelage, ne figurent pas dans l'avis de défaut communiqué à l'intimé le 11 mars 2019. De même, les défauts énumérés dans cet avis de défaut, qui concernent essentiellement les plinthes, ne sont pour la plupart pas repris dans l'avis de défaut subséquent, daté du 3 avril 2019, lequel ne mentionne plus lesdites plinthes. Faute d'élément contraire, il faut donc admettre que ces défauts ont été corrigés par l'intimé dans l'intervalle et que leur persistance lorsque les appelants ont déclaré recourir à leur élimination par des tiers, le 18 avril 2019, n'est pas démontrée. Ceci concerne notamment la pose des plinthes, contrairement à ce qu'a retenu le Tribunal. Les seuls défauts préalablement invoqués que l'on retrouve dans l'avis de défaut subséquent du 3 avril 2019 ont trait à la pose de protections avant l'issue des travaux et à la réalisation de têtes (ou nez) de marche. Comme l'a relevé le</w:t>
      </w:r>
    </w:p>
    <w:p>
      <w:r>
        <w:t>- 13/15 -</w:t>
      </w:r>
    </w:p>
    <w:p>
      <w:r>
        <w:t>C/850/2021 Tribunal, la pose de protections particulières n'était cependant pas prévue dans le descriptif des travaux intégré au contrat. Il n'est donc pas établi que leur éventuelle absence constitue un défaut, imputable à l'appelant. La mauvaise exécution des nez de marche a quant à elle été spontanément contestée par l'intimé, qui a indiqué que ceux-ci correspondaient au modèle présenté, sans être contredit. L'existence d'un défaut ne peut dès lors être admise dans ces conditions. Il en va de même du troisième point soulevé dans l'avis de défaut du 3 avril 2019 (celui-là pour la première fois), soit la pose d'une lame d'une teinte inadéquate, dès lors que le parquet devait être fourni par les appelants, et non par l'intimé, ce que celui-ci a également relevé sans être contredit. Par conséquent, c'est à bon droit que le Tribunal a retenu qu'une exécution défectueuse des travaux n'était pas suffisamment démontrée par les appelants et que ceux-ci ne pouvaient se prévaloir d'un tel motif pour s'opposer aux prétentions en paiement de l'intimé. Il n'est pas non plus établi que l'exécution des travaux aurait accusé du retard par la faute de l'intimé, ce que les appelants ne soutiennent d'ailleurs pas, et l'existence d'une violation du contrat ne peut davantage être retenue sous cet angle. 2.2.3 A cela s'ajoute, comme l'a retenu le Tribunal, que les appelants n'ont jamais allégué le détail des factures des entreprises tierces auxquelles ils soutiennent avoir dû recourir, ni même indiqué précisément quels travaux celles-ci auraient effectués. A supposer qu'une exécution défectueuse des travaux puisse être reprochée à l'appelant sur certains points, notamment sur la réalisation des têtes de marche ou la mise en place de protections, les allégués des appelants ne permettraient pas de déterminer le coût effectif de la réfection des travaux concernés, ni de calculer par conséquent le montant qui pourrait être compensé avec le prix convenu pour la réalisation de l'ouvrage. Pour ce motif également, on ne saurait constater l'inexistence de la créance dont se prévaut l'intimé. 2.3 Le jugement entrepris sera dès lors dès lors confirmé en tant qu'il a débouté les appelants de leurs conclusions tendant à la constatation de cette inexistence (ch. 2 du dispositif). 3. 3.1 La décision du Tribunal sur les frais (ch. 3 à 5 du dispositif) n'est au surplus pas contestée en tant que telle et sera également confirmée, au vu des considérants qui précèdent (art. 318 al. 3 CPC a contrario). 3.2 Les frais judiciaires d'appel seront arrêtés à 2'200 fr. (art. 13, 17 et 35 RTFMC) et mis à la charge des appelants, qui succombent (art. 105 al. 1, art. 106 al. 1 CPC). Ces frais seront compensés avec l'avance de frais de même montant fournie par les appelants, qui demeure acquise à l'Etat de Genève (art. 111 al. 1 CPC).</w:t>
      </w:r>
    </w:p>
    <w:p>
      <w:r>
        <w:t>- 14/15 -</w:t>
      </w:r>
    </w:p>
    <w:p>
      <w:r>
        <w:t>C/850/2021 Les appelants seront par ailleurs condamnés à payer à l'intimé la somme de 1'800 fr. à titre de dépens d'appel (art. 105 al. 2 CPC, art. 84, 85 et 90 RTFMC), débours et TVA compris (art. 25 et 26 LaCC). * * * * * PAR CES MOTIFS, La Chambre civile : A la forme : Déclare recevable l'appel interjeté le 24 juin 2022 par A______ et B______ contre le jugement JTPI/6319/2022 rendu le 18 mai 2022 par le Tribunal de première instance dans la cause C/850/2021. Au fond : Confirme le jugement entrepris. Déboute les parties de toutes autres conclusions. Sur les frais : Arrête les frais judiciaires d'appel à 2'200 fr., les met à la charge de A______ et B______, pris conjointement et solidairement, et les compense avec l'avance de frais de même montant fournie par ceux-ci, qui demeure acquise à l'Etat de Genève. Condamne A______ et B______, pris conjointement et solidairement, à payer à C______ la somme de 1'800 fr. à titre de dépens d'appel. Siégeant : Monsieur Laurent RIEBEN, président; Monsieur Patrick CHENAUX, Madame Fabienne GEISINGER-MARIETHOZ, juges; Madame Sophie MARTINEZ, greffière.</w:t>
      </w:r>
    </w:p>
    <w:p>
      <w:r>
        <w:t>- 15/15 -</w:t>
      </w:r>
    </w:p>
    <w:p>
      <w:r>
        <w:t>C/850/2021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