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ACJC/280/2018 vom 11. September 2017</w:t>
      </w:r>
    </w:p>
    <w:p>
      <w:r>
        <w:t>GE Cour de justice, 2017-09-11, FR</w:t>
      </w:r>
    </w:p>
    <w:p>
      <w:r>
        <w:rPr>
          <w:b/>
        </w:rPr>
        <w:t xml:space="preserve">Quelle: </w:t>
      </w:r>
      <w:r>
        <w:t>https://mcp.opencaselaw.ch/entscheid/ge_gerichte_ACJC_280_2018</w:t>
      </w:r>
    </w:p>
    <w:p>
      <w:r>
        <w:t>FR: GE_GERICHTE ACJC/280/2018 du 11 septembre 2017</w:t>
      </w:r>
    </w:p>
    <w:p>
      <w:r>
        <w:t>IT: GE_GERICHTE ACJC/280/2018 del 11 settembre 2017</w:t>
      </w:r>
    </w:p>
    <w:p>
      <w:pPr>
        <w:pStyle w:val="Heading2"/>
      </w:pPr>
      <w:r>
        <w:t>Erwägungen</w:t>
      </w:r>
    </w:p>
    <w:p>
      <w:r>
        <w:rPr>
          <w:b/>
        </w:rPr>
        <w:t>E. 1.1</w:t>
      </w:r>
    </w:p>
    <w:p>
      <w:r>
        <w:t>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puisque portant sur les droits parentaux (arrêts du Tribunal fédéral 5A_22/2017 du 27 février 2017 consid. 1; 5A_303/2016 du 10 octobre 2016 consid. 1), l'appel est recevable.</w:t>
      </w:r>
    </w:p>
    <w:p>
      <w:r>
        <w:t>Sont également recevables le mémoire de réponse ainsi que les réplique et duplique des parties (art. 248 let. d, 312 al. 1 et 314 al. 1 CPC; ATF 138 I 154 consid. 2.3.3; 137 I 195 consid. 2.3.1 = SJ 2011 I 345).</w:t>
      </w:r>
    </w:p>
    <w:p>
      <w:r>
        <w:rPr>
          <w:b/>
        </w:rPr>
        <w:t>E. 1.2</w:t>
      </w:r>
    </w:p>
    <w:p>
      <w:r>
        <w:t>La Cour dispose d'un pouvoir d'examen complet (art. 310 CPC).</w:t>
      </w:r>
    </w:p>
    <w:p>
      <w:r>
        <w:t>- 5/12 -</w:t>
      </w:r>
    </w:p>
    <w:p>
      <w:r>
        <w:t>C/11739/2013</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t>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w:t>
      </w:r>
    </w:p>
    <w:p>
      <w:r>
        <w:t>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w:t>
      </w:r>
    </w:p>
    <w:p>
      <w:r>
        <w:rPr>
          <w:b/>
        </w:rPr>
        <w:t>E. 2</w:t>
      </w:r>
    </w:p>
    <w:p>
      <w:r>
        <w:t>L'intimée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2.2</w:t>
      </w:r>
    </w:p>
    <w:p>
      <w:r>
        <w:t>En l'espèce, les pièces produites par l'intimée en appel sont recevables, dès lors qu'elles concernent les relations entre les parents, faits qui sont pertinents pour fixer l'étendue du droit aux relations personnelles entre l'appelant et ses</w:t>
      </w:r>
    </w:p>
    <w:p>
      <w:r>
        <w:t>- 6/12 -</w:t>
      </w:r>
    </w:p>
    <w:p>
      <w:r>
        <w:t>C/11739/2013 enfants mineurs. Elles sont par ailleurs postérieures à la date à laquelle la cause a été gardée à juger en première instance.</w:t>
      </w:r>
    </w:p>
    <w:p>
      <w:r>
        <w:rPr>
          <w:b/>
        </w:rPr>
        <w:t>E. 3</w:t>
      </w:r>
    </w:p>
    <w:p>
      <w:r>
        <w:t>L'appelant reproche au Tribunal de ne pas avoir étendu son droit de visite.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t>Les mesures ordonnées par le Tribunal des mesures protectrices de l'union conjugale sont maintenues et le Tribunal est compétent pour prononcer leur modification ou leur révocation (art. 276 al. 2 CPC).</w:t>
      </w:r>
    </w:p>
    <w:p>
      <w:r>
        <w:t>La modification des mesures protectrices ne peut être ordonnée par le juge des mesures provisionnelles que si, depuis le prononcé de celles-là, les circonstances de fait ont changé d'une manière essentielle et durable, notamment en matière de revenus, soit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 du Tribunal fédéral 5A_937/2014 du 26 mai 2015).</w:t>
      </w:r>
    </w:p>
    <w:p>
      <w:r>
        <w:t>Une fois que de telles mesures provisionnelles ont été ordonnées, elles ne peuvent être modifiées qu'aux conditions de l'art. 179 CC applicable par renvoi de l'art. 276 al. 1 CPC.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arrêts du Tribunal fédéral 5A_787/2017 du 28 novembre 2017 consid. 5.1; 5A_732/2015 du 8 février 2016 consid. 2; 5A_56/2015 du 10 septembre 2015 consid. 3.1; 5A_522/2011 du 18 janvier 2012 consid. 4.1 et les arrêts cités).</w:t>
      </w:r>
    </w:p>
    <w:p>
      <w:r>
        <w:t>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 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w:t>
      </w:r>
    </w:p>
    <w:p>
      <w:r>
        <w:t>- 7/12 -</w:t>
      </w:r>
    </w:p>
    <w:p>
      <w:r>
        <w:t>C/11739/2013 mais de l'adapter aux circonstances nouvelles (ATF 137 III 604 consid. 4.1.1; 131 III 189 consid. 2.7.4; 120 II 177 consid. 3a, 285 consid. 4b; arrêt du Tribunal fédéral 5A_894/2016 du 26 juin 2017 consid. 3.1). La maxime inquisitoire ne dispense pas les parties de collaborer à l'établissement des faits (arrêts du Tribunal fédéral 5A_138/2015 du 1er avril 2015 consid. 3.1; 5A_608/2014 du 16 décembre 2014 consid. 4.2.1).</w:t>
      </w:r>
    </w:p>
    <w:p>
      <w:r>
        <w:t>La survenance d'une modification essentielle et durable dans la situation familiale s'apprécie à la date du dépôt de la demande de modification (ATF 137 III 604 consid. 4.1.1; 120 II 285 consid. 4b; arrêts du Tribunal fédéral 5A_732/2015 du</w:t>
      </w:r>
    </w:p>
    <w:p>
      <w:r>
        <w:rPr>
          <w:b/>
        </w:rPr>
        <w:t>E. 3.2</w:t>
      </w:r>
    </w:p>
    <w:p>
      <w:r>
        <w:t>Lorsqu'il statue sur la garde de l'enfant, les relations personnelles ou la participation de chaque parent à la prise en charge de l'enfant, le juge tient compte du droit de l'enfant d'entretenir régulièrement des relations personnelles avec ses deux parents (art. 298 al. 2bis CC).</w:t>
      </w:r>
    </w:p>
    <w:p>
      <w:r>
        <w:t>L'art. 273 al. 1 CC applicable par renvoi des art. 276 al. 1 CPC et 176 al. 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130 III 585 consid. 2.1; arrêts du Tribunal fédéral 5A_22/2017 du 22 février 2017 consid. 3.1.1; 5A_184/2017 du</w:t>
      </w:r>
    </w:p>
    <w:p>
      <w:r>
        <w:rPr>
          <w:b/>
        </w:rPr>
        <w:t>E. 3.3</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3.4</w:t>
      </w:r>
    </w:p>
    <w:p>
      <w:r>
        <w:t>Dans le présent cas, il est admis par les parties que le droit aux relations personnelles de l'appelant sur les deux filles s'exerce, depuis le mois de février 2017, soit depuis une année, s'agissant des week-ends, du vendredi 16 heures jusqu'au lundi matin retour à l'école. L'intimée a par ailleurs relevé, dans son écriture de réponse à l'appel, que le droit de visite, tel qu'il prévalait actuellement, assurait aux deux filles des parties un équilibre. Ce changement notable et durable de la situation n'a pas été pris en considération par le premier juge. Dès lors que cet élargissement du droit de visite est dans l'intérêt manifeste des enfants, et qu'il a été, de fait, mis en place depuis un an, il se justifie de modifier le chiffre 2 du</w:t>
      </w:r>
    </w:p>
    <w:p>
      <w:r>
        <w:t>- 9/12 -</w:t>
      </w:r>
    </w:p>
    <w:p>
      <w:r>
        <w:t>C/11739/2013 dispositif de l'ordonnance rendue par le Tribunal le 7 mars 2017, dans le sens qui précède (art. 318 al. 1 let. b CPC).</w:t>
      </w:r>
    </w:p>
    <w:p>
      <w:r>
        <w:t>En ce qui concerne l'extension dudit droit de visite à un mercredi sur deux l'après- midi jusqu'au jeudi matin, la Cour ne discerne aucun élément nouveau et durable qui serait survenu depuis le prononcé des précédentes mesures provisionnelles au mois de mars 2017. L'appelant reproche essentiellement au Tribunal de ne pas avoir tenu compte du contenu et des conclusions du rapport rendu par le SPMi en juin 2017. Comme l'a retenu à bon droit le premier juge, ledit rapport ne constitue pas un fait ni d'ailleurs une expertise. Contrairement à ce que soutient l'appelant, ledit rapport ne relate aucun fait nouveau pertinent. En particulier, le suivi psychologique dont bénéficie D______ elle-même n'est pas nouveau, dès lors qu'une thérapie a été mise en place depuis l'année 2014. Il en va de même de l'état d'anxiété dans lequel se trouve parfois la mère, celui-ci ayant été mis en évidence dans le rapport d'expertise établi en 2012. Tel est également le cas de la disponibilité dont fait état l'appelant, dès lors que la faculté de ce dernier d'organiser librement son temps de travail existait déjà lors du prononcé des mesures provisionnelles au mois de mars 2017. Pour le surplus, l'appelant ne se prévaut d'aucun autre élément mettant en exergue la nécessité, sous l'angle de la vraisemblance, de modifier, sur mesures provisionnelles, l'étendue du droit de visite telle que fixée par les précédentes décisions judiciaires (sous réserve de l'élargissement au lundi matin prévalant depuis un an).</w:t>
      </w:r>
    </w:p>
    <w:p>
      <w:r>
        <w:t>Enfin, le Tribunal ne s'est pas écarté, sans motivation, des conclusions du rapport du SPMi. Il a, en effet, retenu que ledit rapport ne contenait aucun fait nouveau. ce que l'appelant ne contestait au demeurant pas.</w:t>
      </w:r>
    </w:p>
    <w:p>
      <w:r>
        <w:t>L'ordonnance entreprise sera, dès lors, confirmée sur ce point. 4. 4.1 Si l'instance d'appel statue à nouveau, elle se prononce sur les frais de la première instance (art. 318 al. 3 CPC).</w:t>
      </w:r>
    </w:p>
    <w:p>
      <w:r>
        <w:t>Dès lors que le Tribunal a réservé le sort des frais judiciaires de première instance et que cela n'est pas critiqué en appel, la décision entreprise sera confirmée sur ce point.</w:t>
      </w:r>
    </w:p>
    <w:p>
      <w:r>
        <w:t>4.2 Les frais judiciaires d'appel seront fixés à 800 fr. (art. 31 et 37 RTFMC) et mis à la charge des parties pour moitié chacune, compte tenu de la nature familiale et de l'issue du litige (art. 95 et 107 al. 1 let. c CPC). L'intimée sera en conséquence condamnée à verser la somme de 400 fr. à l'Etat de Genève, soit pour lui les Services financiers du Pouvoir judiciaire.</w:t>
      </w:r>
    </w:p>
    <w:p>
      <w:r>
        <w:t>Dès lors que l'appelant plaide au bénéfice de l'assistance judiciaire, ses frais seront provisoirement laissés à la charge de l'Etat de Genève, lequel pourra en réclamer le remboursement ultérieurement si les conditions de l'art. 123 CPC sont remplies.</w:t>
      </w:r>
    </w:p>
    <w:p>
      <w:r>
        <w:t>- 10/12 -</w:t>
      </w:r>
    </w:p>
    <w:p>
      <w:r>
        <w:t>C/11739/2013</w:t>
      </w:r>
    </w:p>
    <w:p>
      <w:r>
        <w:t>4.3 Compte tenu de la nature familiale du litige, chaque partie supportera ses propres dépens d'appel (art. 107 al. 1 let. c CPC). 5. L'arrêt de la Cour, statuant sur mesures provisionnelles dans la procédure en divorce, est susceptible d'un recours en matière civile, les moyens étant limités en application de l'art. 98 LTF (ATF 133 III 393 consid. 5.1). * * * * *</w:t>
      </w:r>
    </w:p>
    <w:p>
      <w:r>
        <w:t>- 11/12 -</w:t>
      </w:r>
    </w:p>
    <w:p>
      <w:r>
        <w:t>C/11739/2013 PAR CES MOTIFS, La Chambre civile : A la forme : Déclare recevable l'appel interjeté le 25 septembre 2017 par A______ contre le chiffre 1 du dispositif de l'ordonnance OTPI/466/2017 rendue le 11 septembre 2017 par le Tribunal de première instance dans la cause C/11739/2013-9. Au fond : Annule ledit chiffre 1. Cela fait et statuant à nouveau sur ce point : Modifie le chiffre 2 de l'ordonnance OTPI/93/2017 rendue le 7 mars 2017 par le Tribunal de première instance dans la cause C/11739/2013-9 en ce sens que le droit de visite d'un week-end sur deux octroyé à A______ s'exerce du vendredi 16 heures au lundi matin, retour à l'école. Confirme l'ordonnance pour le surplus. Déboute les parties de toutes autres conclusions. Sur les frais : Arrête les frais judiciaires à 800 fr. et les met à la charge des parties pour moitié chacune. Condamne en conséquence B______ à verser 400 fr. à l'Etat de Genève, soit pour lui les Services financiers du Pouvoir judiciaire. Dit que les frais de 400 fr. de A______ sont provisoirement supportés par l'Etat de Genève. Dit que chaque partie assume ses propres dépens. Siégeant : Madame Jocelyne DEVILLE-CHAVANNE, présidente; Madame Nathalie LANDRY- BARTHE et Madame Eleanor McGREGOR, juges; Madame Audrey MARASCO, greffière.</w:t>
      </w:r>
    </w:p>
    <w:p>
      <w:r>
        <w:t>La présidente : Jocelyne DEVILLE-CHAVANNE</w:t>
      </w:r>
    </w:p>
    <w:p>
      <w:r>
        <w:t>La greffière : Audrey MARASCO</w:t>
      </w:r>
    </w:p>
    <w:p>
      <w:r>
        <w:t>- 12/12 -</w:t>
      </w:r>
    </w:p>
    <w:p>
      <w:r>
        <w:t>C/11739/2013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février 2016 consid. 2; 5A_22/2014 du 13 mai 2014 consid. 3.1; 5A_153/2013 du 24 juillet 2013 consid. 2.1).</w:t>
      </w:r>
    </w:p>
    <w:p>
      <w:r>
        <w:t>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(arrêt du Tribunal fédéral 5A_787/2017 du 28 novembre 2017 consid. 5.1; PELLATON, in Commentaire pratique, Droit matrimonial, 2016, n. 29 et 38 ad art. 179 CC; ISENRING/KESSLER, in Basler Kommentar, ZGB I, 5ème éd. 2014, n. 5 ad art. 179 CC).</w:t>
      </w:r>
    </w:p>
    <w:p>
      <w:r>
        <w:rPr>
          <w:b/>
        </w:rPr>
        <w:t>E. 9</w:t>
      </w:r>
    </w:p>
    <w:p>
      <w:r>
        <w:t>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w:t>
      </w:r>
    </w:p>
    <w:p>
      <w:r>
        <w:rPr>
          <w:b/>
        </w:rPr>
        <w:t>E. 12</w:t>
      </w:r>
    </w:p>
    <w:p>
      <w:r>
        <w:t>décembre 2012 consid. 4.2).</w:t>
      </w:r>
    </w:p>
    <w:p>
      <w:r>
        <w:t>L'importance et le mode d'exercice des relations personnelles doivent être appropriés à la situation, c'est-à-dire qu'il faut tenir équitablement compte des circonstances essentielles du cas, le bien de l'enfant étant le facteur d'appréciation</w:t>
      </w:r>
    </w:p>
    <w:p>
      <w:r>
        <w:t>- 8/12 -</w:t>
      </w:r>
    </w:p>
    <w:p>
      <w:r>
        <w:t>C/11739/2013 le plus important (ATF 100 II 81 consid. 4 = JdT 1975 I 57). Pour apprécier ce qu'est le bien de l'enfant, le juge tiendra compte de l'âge de l'enfant, de son état de santé physique et de la relation qu'il entretient avec l'ayant droit (MEIER/ 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Le bien de l'enfant constitue en effet la règle fondamentale en matière d'attribution des droits parentaux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w:t>
      </w:r>
    </w:p>
    <w:p>
      <w:r>
        <w:t>Pour apprécier ces critères, le juge du fait dispose d'un large pouvoir d'appréciation (ATF 132 III 97 consid. 1; arrêts du Tribunal fédéral 5A_53/2017 du 23 mars 2017 consid. 5.1; 5A_154/2016 du 19 mai 2016 consid. 4.1 et 5A_714/2015 du 28 avril 2016 consid. 4.2.1.3).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