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ACJC/271/2023 vom 27. Februar 2023</w:t>
      </w:r>
    </w:p>
    <w:p>
      <w:r>
        <w:t>GE Cour de justice, 2023-02-27, FR</w:t>
      </w:r>
    </w:p>
    <w:p>
      <w:r>
        <w:rPr>
          <w:b/>
        </w:rPr>
        <w:t xml:space="preserve">Quelle: </w:t>
      </w:r>
      <w:r>
        <w:t>https://mcp.opencaselaw.ch/entscheid/ge_gerichte_ACJC_271_2023</w:t>
      </w:r>
    </w:p>
    <w:p>
      <w:r>
        <w:t>FR: GE_GERICHTE ACJC/271/2023 du 27 février 2023</w:t>
      </w:r>
    </w:p>
    <w:p>
      <w:r>
        <w:t>IT: GE_GERICHTE ACJC/271/2023 del 27 febbraio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4C_310/1996 du 16 avril 1997 = SJ 1997 p. 493 consid. 1). S'agissant d'un contrat de bail reconductible tacitement, soit de durée indéterminée (ATF 114 II 165 consid. 2b), la valeur litigieuse déterminante, dans le cadre d'une contestation de loyer initial, doit être établie d'après les dernières conclusions prises devant l'autorité précédente, la différence de loyer sur une année devant être multipliée par vingt (art. 92 al. 2 CPC; arrêt du Tribunal fédéral 4A_475/2012 du</w:t>
      </w:r>
    </w:p>
    <w:p>
      <w:r>
        <w:rPr>
          <w:b/>
        </w:rPr>
        <w:t>E. 1.2</w:t>
      </w:r>
    </w:p>
    <w:p>
      <w:r>
        <w:t>En l'espèce, les intimés ont conclu en dernier lieu devant le Tribunal à la fixation du loyer mensuel de l'appartement à 12'168 fr., soit une différence de 17'232 fr. (29'400 fr. – 12'168 fr.) sur une année. La valeur litigieuse est ainsi supérieure à 10'000 fr., de sorte que la voie de l'appel est ouverte.</w:t>
      </w:r>
    </w:p>
    <w:p>
      <w:r>
        <w:rPr>
          <w:b/>
        </w:rPr>
        <w:t>E. 1.3</w:t>
      </w:r>
    </w:p>
    <w:p>
      <w:r>
        <w:t>Interjeté dans le délai prescrit et selon la forme requise par la loi, l'appel est recevable (art. 130, 131, 145 al. 1 let. b, 311 al. 1 CPC).</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2.1 Dans un premier grief, l'appelante se plaint d'une constatation inexacte des faits. Elle considère que le Tribunal aurait dû retenir que par l'achat « en bloc » des immeubles sis rue 1______ 3 à 13 et de la liquidation de F______, l'appelante</w:t>
      </w:r>
    </w:p>
    <w:p>
      <w:r>
        <w:t>- 8/16 -</w:t>
      </w:r>
    </w:p>
    <w:p>
      <w:r>
        <w:t>C/18265/2020 avait bénéficié d'un prix d'acquisition préférentiel, de sorte que si elle avait dû acheter chaque immeuble individuellement à la valeur du marché d'alors, leur prix aurait été d'au moins 25% supérieur. En ce sens, les coûts d'investissement de l'immeuble sis rue 1______ 13 qu'il conviendrait de prendre en considération dans le cadre du calcul de rendement net serait d'au moins 7'054'687 fr. 50 (soit 33'862'500 fr. divisé par 6, montant auquel s'ajouterait le taux de 25%). Elle reproche en outre au Tribunal de ne pas avoir retenu le fait que les immeubles sis rue 1______ 3 à 13 ne présentent pas tous une composition identique, de sorte que dans le calcul du rendement net, la ventilation ne pouvait pas se faire à l'échelle de l'entier du bloc, mais devait être établie immeuble par immeuble. 2.2 En l'espèce, il ressort explicitement du jugement entrepris que les immeubles précités ont été acquis par l'appelante dans la liquidation extraordinaire de F______, et qu'il s'agit d'un achat « en bloc ». Concernant le taux majoré de 25% que l'appelante considère applicable en l'espèce, il ne s'agit que de simples allégations de cette dernière, et non de faits pertinents qui auraient dû être relevés par le Tribunal. En effet, cela ressort des allégués de première instance 6 et 7 de l'appelante, lesquels sont fondés sur la pièce 8 des intimés, soit une réquisition pour le registre foncier concernant l'achat du 17 décembre 2002. Or, il ne ressort nullement de cette pièce les faits allégués par l'appelante. L'appelante n'a ainsi pas démontré la réalité de ses allégations, de sorte que celles-ci ne pouvaient être retenues par le Tribunal comme étant des faits démontrés. De même pour la composition des immeubles précités ; l'appelante a uniquement versé à la procédure l'état locatif caviardé de l'immeuble sis rue 1______ 13. Par ordonnance du 3 août 2021, l'appelante a été invitée par le Tribunal à produire toutes les pièces nécessaires et utiles au calcul du rendement net. A ce sujet, son attention avait expressément été attirée sur les conséquences qui pouvaient être tirées de son refus de produire ces pièces, à savoir l'indice qu'elle cachait un rendement excessif. De plus, l'appelante n'a ni allégué, et encore moins démontré, que les cinq autres immeubles ne seraient pas composés de manière identique à celui dont est litige. L'état de faits ci-dessus a été précisé en ce sens. Pour le surplus, le Tribunal a valablement analysé la situation sur la base des pièces qui avaient été produites, et a correctement établi les faits de la présente cause. 3. L'appelante reproche ensuite au Tribunal la violation de son droit d'être entendue à plusieurs égards. Selon elle, le Tribunal n'aurait pas exposé les motifs pour lesquels il a considéré que les conditions pour opérer un correctif au prix d'acquisition n'étaient pas réalisées en l'espèce. De la même manière, l'autorité précédente n'aurait pas exposé les raisons pour lesquelles elle a décidé d'écarter la</w:t>
      </w:r>
    </w:p>
    <w:p>
      <w:r>
        <w:t>- 9/16 -</w:t>
      </w:r>
    </w:p>
    <w:p>
      <w:r>
        <w:t>C/18265/2020 clé de répartition proposée par la bailleresse, ni exposé les fondements sur lesquels elle s'est fondée pour retenir une forme de linéarité dans la question de la prime à l'étage. 3.1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Une motivation insuffisante constitue une violation du droit d'être entendu, que la juridiction supérieure peut librement examiner aussi bien en appel que dans le cadre d'un recours au sens des art. 319 ss CPC (TAPPY, in Commentaire romand du Code de procédure civile, 2ème éd., 2019, n. 7 ad art. 238 CPC et n. 18 ad art. 239 CPC).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références; arrêt du Tribunal fédéral 5A_381/2020 du 1er septembre 2020 consid. 3.1).</w:t>
      </w:r>
    </w:p>
    <w:p>
      <w:r>
        <w:t>- 10/16 -</w:t>
      </w:r>
    </w:p>
    <w:p>
      <w:r>
        <w:t>C/18265/2020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et qu'il n'en résulte aucun préjudice pour le justiciable (ATF 136 III 174). 3.2 En l'espèce, quand bien même la motivation du Tribunal est succincte, elle est suffisante et l'appelante a été en mesure d'attaquer la décision. En tout état, la Cour dispose d'un pouvoir d'examen complet en fait et en droit, de sorte qu'une éventuelle violation du droit d'être entendu pourrait être réparée devant elle. 4. L'appelante reproche au Tribunal d'avoir retenu que les conditions pour opérer un correctif au prix d'acquisition au sens de la jurisprudence n'étaient pas réalisées en l'espèce. 4.1 Pour déterminer les coûts d'investissement effectifs (ou le prix de revient) de l'immeuble, il convient de prendre en compte le prix d'acquisition et le coût de la construction ou le prix d'achat de l'immeuble construit, ainsi que les travaux à plus-value (à l'exclusion des coûts d'entretien, qui sont intégrés dans les charges, cf. ATF 141 III 245 consid. 6.6 p. 255).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(ATF 142 III 568 consid. 2.1 p. 575 s.; 122 III 257 consid. 3b/bb p. 259 s.). Un prix d'achat manifestement exagéré doit être réduit au prix normal (cf. art. 269 i.f. CO et art. 10 OBLF; ATF 125 III 421 consid 2b p. 423; arrêt du Tribunal fédéral 4A_465/2015 du 1er mars 2016 consid. 4.2). La jurisprudence admet un correctif au prix d'acquisition lorsque le bailleur a acquis le bien à un prix préférentiel, par exemple dans le cadre d'une donation mixte, au motif que l'avantage consenti à celui-ci est destiné exclusivement à le favoriser lui, et non pas ses locataires. Dans un tel cas, le calcul de rendement peut se fonder sur la valeur du marché au moment de l'acquisition (arrêts du Tribunal fédéral 4C_285/2005 du 18 janvier 2006 consid. 2.5; 4C_234/1994 du 6 décembre 1994 consid. 3a, approuvé par Beat ROHRER, MRA 2/95, p. 78; plus récemment 4A_276/2011 du 11 octobre 2011 consid. 5.2.4). En d'autres termes, lorsque le bailleur a reçu l'immeuble en donation ou s'il l'a acheté à un parent à un prix de faveur (donation mixte), il faut retenir sa valeur effective sur le marché, au jour de la transaction, qui devra être établie par une expertise. Dans cette hypothèse, le prix avantageux est destiné à favoriser le bailleur et non ses locataires. Il ne suffit toutefois pas d'être en présence d'un prix</w:t>
      </w:r>
    </w:p>
    <w:p>
      <w:r>
        <w:t>- 11/16 -</w:t>
      </w:r>
    </w:p>
    <w:p>
      <w:r>
        <w:t>C/18265/2020 d'achat inférieur au marché (élément objectif) pour qu'on puisse recourir à la valeur vénale, car l'acquéreur peut avoir fait une bonne affaire; il faut qu'une condition supplémentaire soit réalisée, à savoir une libéralité (élément subjectif) de l'aliénateur qui a voulu favoriser l'acquéreur. La preuve de ces éléments est à charge du bailleur (LACHAT/STASTNY, Le bail à loyer, Lausanne 2019, pp. 539-540; arrêt du Tribunal fédéral 4A_129/2011 du 28 avril 2011, consid. 4.2). 4.2 En l'espèce, l'appelante allègue que lors de l'acquisition des immeubles sis rue 1______ 3, 5, 7, 9, 11 et 13 à D______, elle aurait bénéficié d'un prix réduit, en raison de deux éléments : d'une part, la faillite de F______, et d'autre part, car l'achat portait sur des immeubles « en bloc ». Or, les deux éléments précités ne réalisent nullement les conditions d'application du principe du correctif applicable au prix d'acquisition susmentionné. En effet, il ne s'agit pas d'un cas dans lequel l'appelante aurait acquis les immeubles à un prix de faveur. Il convient de souligner de plus qu'au niveau des faits, l'appelante n'a pas même allégué que F______ aurait voulu la faire profiter d'un tel prix de faveur. Il s'agit ici simplement d'une éventuelle bonne affaire, suite à la faillite du vendeur, grâce à laquelle l'appelante a pu acquérir le bloc d'immeubles litigieux à un prix de 32'250'000 fr. Ainsi, le Tribunal a retenu à raison que les conditions pour opérer un correctif du prix d'acquisition au sens de la jurisprudence n'étaient pas réalisée en l'espèce, « [e]n dépit des allégations de la bailleresse à ce propos ». Dès lors, ce grief sera écarté. 5. L'appelante reproche au Tribunal la clé de répartition retenue. 5.1 Le calcul du rendement net au sens de l'art.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 d'immeubles (ATF 125 III 421 consid. 2d p. 424 s.; ATF 120 II 100 consid. 6c p. 104 s.). En effet, en cas de disparité entre les loyers des différents appartements ou locaux, résultant par exemple de hausses de loyer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w:t>
      </w:r>
    </w:p>
    <w:p>
      <w:r>
        <w:t>- 12/16 -</w:t>
      </w:r>
    </w:p>
    <w:p>
      <w:r>
        <w:t>C/18265/2020 appartement selon une clé de répartition (arrêts du Tribunal fédéral 4A_554/2019 du 26 octobre 2019, consid. 7.1; 4A_239/2018 du 19 février 2019 consid. 5.2 et les références citées). Les comptes sont, en règle générale, établis par immeuble. Ils n'individualisent pas les charges relatives à tel logement ou local commercial. De ce fait, il y a lieu de ventiler les comptes objet par objet, selon la clé de répartition applicable aux propriétés par étages (arrêt du Tribunal fédéral 4A_2019/2007 du 26 novembre 2007, consid. 3.2), au prorata du nombre de pièces (ATF 116 II 184 consid. 3b), ou en fonction de la surface des logements (ATF 116 II 84 consid. 3b), de leur volume (ATF 120 II 100 consid. 6c), voire de leur valeur d'assurance (arrêt du Tribunal fédéral 4A_35/2008 du 13 juin 2008, consid. 4.1) ou du pourcentage que représente le loyer en cause par rapport à l'état locatif, avant majoration (LACHAT/STASTNY, op cit., p. 533). Lorsque l'immeuble comprend des parkings ou des locaux commerciaux, il convient de les retrancher de l'état locatif global de l'immeuble (sur la base du dernier état locatif de l'immeuble), pour obtenir le rendement admissible pour les seuls logements (arrêt du Tribunal fédéral 4A_239/2018 précité; ACJC/127/1998 du 16 février 1998; ACJC/398/2000 du 10 avril 2000). Par ailleurs, lorsque les loyers d'un immeuble présentent des disparités, au-delà de ce qui apparaît justifié par une prime à l'étage, l'état locatif admissible doit être ventilé entre les divers appartements et locaux, selon les clés de répartition usuelles pour les immeubles constitués en propriété d'étages, généralement au prorata de la surface, du volume des logements ou du nombre de pièces. Lorsque la clé de répartition choisie par le bailleur ne répercute pas les coûts selon ces principes, elle est insoutenable et le juge appliquera le système qu'il jugera équitable (ATF 116 II 184; arrêt du Tribunal fédéral 4A_239/2018 précité; BOHNET/CARRON/MONTINI, Droit du bail à loyer et à ferme, 2017, n. 12ss ad art. 269 CO). Pour choisir l'une de ces différentes clés de répartition, le juge dispose d'un large pouvoir d'appréciation, car aucune d'entre elles n'est parfaite (ATF 125 III 421 consid. 2d). 5.2 En l'espèce, l'appelante a, en première instance, proposé de ventiler le rendement admissible selon la valeur donnée aux différents étages de l'immeuble, en alléguant que l'on ne saurait considérer qu'un logement situé au rez-de- chaussée aurait la même valeur qu'un appartement situé au sixième étage d'un immeuble. Ainsi, l'appelante a proposé de considérer que les étages n. 1 à 4 de l'immeuble litigieux représentaient le 40% de son rendement, soit 10% par étage, que le cinquième étage représentait le 15% du rendement, et que finalement, les 6ème et 7ème étages représentaient quant à eux le 45% du rendement de l'immeuble restant, soit 22,5% par étage. De plus, l'appelante a relevé que chaque étage comportait trois appartements, dont les surfaces étaient de 50 m2, de 76 m2, et de</w:t>
      </w:r>
    </w:p>
    <w:p>
      <w:r>
        <w:t>- 13/16 -</w:t>
      </w:r>
    </w:p>
    <w:p>
      <w:r>
        <w:t>C/18265/2020 90 m2, soit un total de 216 m2; la surface de l'appartement dont est litige étant de 90 m2, celui-ci représentait ainsi le 41.7% de l'étage. Ainsi, selon la ventilation appliquée par l'appelante, le loyer admissible annuel du logement litigieux, parking compris, serait de 30'700 fr. 85. A juste titre, le Tribunal a relevé que la clé de répartition proposée par l'appelante ne tenait pas compte de la ventilation devant être opérée entre les appartements et les places de parking - qui est pourtant exigée par la jurisprudence fédérale susmentionnée - raison pour laquelle l'appelante n'a pas été suivie par l'autorité précédente. En outre, l'autorité précédente a souligné l'absence de production d'un état locatif complet par l'appelante, comportant en particulier les loyers pratiqués pour les parkings. S'agissant du calcul de la prime à l'étage proposé par l'appelante, le Tribunal a relevé que celui-ci ne saurait être appliqué, dans la mesure où il n'est pas linéaire et ne repose sur aucun fondement objectif. En effet, l'appelante ne s'est fondée sur aucune disposition légale, jurisprudence, ou avis doctrinal pour étayer le calcul qui selon elle devait être appliqué en l'espèce pour prendre en considération le fait que le logement litigieux est situé au 6ème étage de l'immeuble. Il s'agit ainsi simplement d'une proposition de l'appelante. Le Tribunal n'était pas tenu de la suivre, vu l'absence de tout fondement juridique de celle-ci. Le Tribunal a tout de même admis une prime à l'étage, en faisant usage de son pouvoir d'appréciation : il a en effet procédé à un calcul ex aequo et bono, en augmentant le montant obtenu au terme de la pondération pour le loyer d'un logement sis au 4ème étage, en le majorant de 2 fr. par m2, et par étage. Par conséquent, le jugement attaqué n'est nullement vicié. Il sera confirmé sur ce point.</w:t>
      </w:r>
    </w:p>
    <w:p>
      <w:r>
        <w:rPr>
          <w:b/>
        </w:rPr>
        <w:t>E. 6</w:t>
      </w:r>
    </w:p>
    <w:p>
      <w:r>
        <w:t>Finalement, l'appelante soutient que le Tribunal aurait tenu un raisonnement manifestement erroné. En ce sens, elle fait valoir que vu les disparités existantes entre les différents immeubles sis rue 1______ 3, 5, 7, 9, 11 et 13, le calcul du rendement admissible de la chose louée aurait dû être établi immeuble par immeuble, et non à l'échelle de l'entier du bloc.</w:t>
      </w:r>
    </w:p>
    <w:p>
      <w:r>
        <w:rPr>
          <w:b/>
        </w:rPr>
        <w:t>E. 6.1</w:t>
      </w:r>
    </w:p>
    <w:p>
      <w:r>
        <w:t>Le calcul du rendement net au sens de l'art.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w:t>
      </w:r>
    </w:p>
    <w:p>
      <w:r>
        <w:t>- 14/16 -</w:t>
      </w:r>
    </w:p>
    <w:p>
      <w:r>
        <w:t>C/18265/2020 d'immeubles (ATF 125 III 421 consid. 2d p. 424 s.; 120 II 100 consid. 6c p. 104 s.). En effet, en cas de disparité entre les loyers des différents appartements ou locaux, résultant par exemple de hausses de loyers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(arrêts du Tribunal fédéral 4A_554/2019 du 26 octobre 2020 consid. 7.1; 4A_239/2018 précité consid. 5.2 et les références citées). Il appartient certes au locataire de prouver que le loyer convenu procure au bailleur un rendement excessif (ATF 124 III 310 consid. 2). Mais selon les principes généraux tirés des règles de la bonne foi, la partie qui n'a pas la charge de la preuve (i. e. le bailleur) doit néanmoins collaborer loyalement à l'administration des preuves et fournir les éléments qu'elle est seule à détenir (ATF 142 III 568 consid. 2.1 p. 576; 115 II 1 consid. 4; arrêts du Tribunal fédéral 4A_17/2017 du 7 septembre 2017 consid. 2.2 et les arrêts cités; 4A_461/2015 du 15 février 2016 consid. 3.2 et 3.3; 4A_3/2011 du 28 février 2011 consid. 4). Dès lors que le bailleur détient seul les documents permettant un calcul de rendement, on peut donc attendre de lui qu'il les produise (arrêts du Tribunal fédéral 4A_3/2011 du 28 février 2011, ibidem; 4C.61/2005 du 27 mai 2005 consid. 4.3.2, in SJ 2006 I p. 34). En règle générale, le bailleur devra remettre les documents suivants, de manière ordonnée (arrêt du Tribunal fédéral 5C.134/2004 du 1er octobre 2004, consid. 2.2) et facilement compréhensible (arrêt du Tribunal fédéral 4A_397/2013 du</w:t>
      </w:r>
    </w:p>
    <w:p>
      <w:r>
        <w:rPr>
          <w:b/>
        </w:rPr>
        <w:t>E. 6.2</w:t>
      </w:r>
    </w:p>
    <w:p>
      <w:r>
        <w:t>En l'espèce, l'appelante ne démontre pas en quoi le Tribunal aurait violé le droit en procédant au calcul du loyer annuel maximum admissible par m2, en se fondant sur la surface totale des appartements des immeubles, soit 8'652 m2, puis en rapportant le montant ainsi obtenu, au nombre de m2 du logement litigieux. L'appelante allègue simplement que le Tribunal aurait dû prendre en considération les spécificités et caractéristiques de chaque immeuble, mais relève ensuite qu'il aurait suffi de diviser les coûts d'investissement par six, afin d'obtenir le montant applicable à un seul des immeubles. Dès lors, l'on voit mal en quoi le calcul proposé par l'appelante prendrait en considération les éventuelles disparités entre chaque immeuble, alléguées nouvellement par cette dernière. De toute évidence, il sied de relever que c'est l'appelante qui avait la charge de fournir les éléments nécessaires au calcul de rendement conformément à une jurisprudence bien établie et qui a violé son devoir de collaboration. Elle ne saurait donc reprocher au Tribunal d'avoir ventilé le rendement admissible sur la base du seul critère fourni par elle, soit la surface habitable par m2. En effet, l'appelante n'a versé à la procédure qu'un état locatif de l'immeuble sis rue 1______ 13, en ayant pris le soin de caviarder le loyer pratiqué pour chaque logement. Elle a ensuite indiqué avoir acquis six immeubles en un bloc, sans toutefois étayer la composition des cinq autres immeubles. Ainsi, sur la base des éléments disponibles, le Tribunal a calculé la surface totale des appartements des six immeubles litigieux, soit une surface de 8'652 m2, afin de pouvoir calculer le loyer maximum admissible pour le logement dont est litige. L'appelante ne saurait reprocher au Tribunal d'avoir procédé de la sorte, se fondant sur le seul document qu'elle produit. Le jugement entrepris sera dès lors confirmé. 7. Vu que la cause ne sera pas renvoyée à l'autorité précédente pour complément d'instruction, la Cour ne procédera pas à l'examen de la question de la recevabilité de la conclusion subsidiaire prise par l'intimée dans son mémoire de réponse du 23 juin 2022. 8. En application de l'art. 22 al. 1 LaCC, il ne sera pas perçu de frais judiciaires et il ne sera pas alloué de dépens. * * * * *</w:t>
      </w:r>
    </w:p>
    <w:p>
      <w:r>
        <w:t>- 16/16 -</w:t>
      </w:r>
    </w:p>
    <w:p>
      <w:r>
        <w:t>C/18265/2020</w:t>
      </w:r>
    </w:p>
    <w:p>
      <w:r>
        <w:t>PAR CES MOTIFS, La Chambre des baux et loyers :</w:t>
      </w:r>
    </w:p>
    <w:p>
      <w:r>
        <w:t>A la forme : Déclare recevable l'appel interjeté le 27 mai 2022 par la CAISSE DE PREVOYANCE A______ contre le jugement JTBL/295/2022 rendu le 14 avril 2022 par le Tribunal des baux et loyers dans la cause C/18265/2020. Au fond : Confirme ce jugement. Dit que la procédure est gratuite. Déboute les parties de toutes autres conclusions. Siégeant : Madame Nathalie RAPP, présidente; Madame Pauline ERARD et Fabienne GEISINGER-MARIETHOZ, juges; Monsieur Jean-Philippe ANTHONIOZ et Serge PATEK, juges assesseurs; Madame Maïté VALENTE, greffière.</w:t>
      </w:r>
    </w:p>
    <w:p>
      <w:r>
        <w:t>La présidente : Nathalie RAPP</w:t>
      </w:r>
    </w:p>
    <w:p>
      <w:r>
        <w:t>La greffière : Maïte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11</w:t>
      </w:r>
    </w:p>
    <w:p>
      <w:r>
        <w:t>février 2014, consid. 4.2) : (1) l'acte d'achat de l'immeuble ou un récapitulatif de son coût de revient, avec des précisions sur la quotité des fonds empruntés et des fonds propres; si l'immeuble est propriété d'une société anonyme, les bilans; (2) l'état des charges immobilières, pour un nombre d'exercices suffisant, afin de permettre l'établissement de moyennes; si l'immeuble est propriété d'une société anonyme, le bailleur en produira les comptes de pertes et profits; (3) l'état locatif de l'immeuble, c'est-à-dire la liste des loyers qui y sont pratiqués; (4) en cas de disparités dans l'état locatif, le cahier de répartition de l'immeuble ou tout autre document permettant de déterminer la quote-part du tout que représente le local commercial ou le logement en cause (LACHAT/STASTNY, op cit., p. 535). Le bailleur est tenu de conserver les pièces comptables depuis la fin de l'année 1980. Il ne peut donc se prévaloir du fait qu'il n'a pas conservé les documents après dix ans (ATF 140 III 433 consid. 3.1.2, JdT 2016 II 363). Dans l'appréciation des preuves, le juge peut tenir compte des manquements d'un</w:t>
      </w:r>
    </w:p>
    <w:p>
      <w:r>
        <w:t>- 15/16 -</w:t>
      </w:r>
    </w:p>
    <w:p>
      <w:r>
        <w:t>C/18265/2020 bailleur, surtout d'un professionnel, qui n'a pas sauvegardé les documents utiles au calcul de rendement (ATF 142 III 568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