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ACJC/270/2017 vom 20. September 2016</w:t>
      </w:r>
    </w:p>
    <w:p>
      <w:r>
        <w:t>GE Cour de justice, 2016-09-20, FR</w:t>
      </w:r>
    </w:p>
    <w:p>
      <w:r>
        <w:rPr>
          <w:b/>
        </w:rPr>
        <w:t xml:space="preserve">Quelle: </w:t>
      </w:r>
      <w:r>
        <w:t>https://mcp.opencaselaw.ch/entscheid/ge_gerichte_ACJC_270_2017</w:t>
      </w:r>
    </w:p>
    <w:p>
      <w:r>
        <w:t>FR: GE_GERICHTE ACJC/270/2017 du 20 septembre 2016</w:t>
      </w:r>
    </w:p>
    <w:p>
      <w:r>
        <w:t>IT: GE_GERICHTE ACJC/270/2017 del 20 settembre 2016</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 l'épouse, seul point encore litigieux, soit sur une affaire patrimoniale dont la valeur litigieuse est, compte tenu de la quotité de la contribution contestée en première instance, supérieure à 10'000 fr. (notamment 1'937 fr. x 12 x 20 = 464'880 fr.; art. 91 al. 1, 92 al. 2 et 308 al. 2 CPC).</w:t>
      </w:r>
    </w:p>
    <w:p>
      <w:r>
        <w:t>- 5/11 -</w:t>
      </w:r>
    </w:p>
    <w:p>
      <w:r>
        <w:t>C/18960/2015</w:t>
      </w:r>
    </w:p>
    <w:p>
      <w:r>
        <w:rPr>
          <w:b/>
        </w:rPr>
        <w:t>E. 1.2</w:t>
      </w:r>
    </w:p>
    <w:p>
      <w:r>
        <w:t>La Cour revoit la cause en fait et en droit avec un plein pouvoir d'examen (art. 310 CPC), dans les limites posées par les maximes des débats et de disposition applicables en matière de contributions d'entretien après le divorce (art. 58 al. 1 et 277 al. 1 CPC). Le Tribunal ne peut accorder à une partie ni plus ni autre chose que ce qui est demandé, ni moins que ce qui est reconnu par la partie adverse (art. 58 al. 1 CPC).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123 III 115 consid. 6c; 119 II 396 consid. 2). Cette jurisprudence est également applicable à l'entretien après divorce (arrêts du Tribunal fédéral 5A_865/2015 du 26 avril 2016 consid. 3.1; 5A_310/2010 du 19 novembre 2010 consid. 6.4.3, publié in FamPra.ch 2011, p. 451). Pour déterminer si le juge reste dans le cadre des conclusions prises, il faut par conséquent se fonder sur le montant global réclamé (arrêt du Tribunal fédéral 5A_667/2015 du 1er février 2016 consid. 6.1).</w:t>
      </w:r>
    </w:p>
    <w:p>
      <w:r>
        <w:rPr>
          <w:b/>
        </w:rPr>
        <w:t>E. 2</w:t>
      </w:r>
    </w:p>
    <w:p>
      <w:r>
        <w:t>La nationalité étrangère des parties constitue un élément d'extranéité. Dans la mesure où les parties sont domiciliées à Genève, les tribunaux genevois sont compétents pour connaître de la demande (art. 59 et 63 al. 1 LDIP) et le droit suisse est applicable (art. 49 et 63 al. 2 LDIP, art. 4 de la convention de La Haye du 2 octobre 1973 sur la loi applicable aux obligations alimentaires), ce qui n'est au demeurant pas contesté par les parties.</w:t>
      </w:r>
    </w:p>
    <w:p>
      <w:r>
        <w:rPr>
          <w:b/>
        </w:rPr>
        <w:t>E. 3</w:t>
      </w:r>
    </w:p>
    <w:p>
      <w:r>
        <w:t>L'appelant estime qu'il devrait être libéré du versement d'une contribution d'entretien post-divorce en faveur de son ex-épouse. Dans l'hypothèse où l'inverse devrait être retenu, il reproche au premier juge d'avoir statué ultra petita en allouant à son ex-épouse une contribution d'entretien mensuelle supérieure au montant qu'elle avait réclamé.</w:t>
      </w:r>
    </w:p>
    <w:p>
      <w:r>
        <w:rPr>
          <w:b/>
        </w:rPr>
        <w:t>E. 3.1</w:t>
      </w:r>
    </w:p>
    <w:p>
      <w:r>
        <w:t>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w:t>
      </w:r>
    </w:p>
    <w:p>
      <w:r>
        <w:t>- 6/11 -</w:t>
      </w:r>
    </w:p>
    <w:p>
      <w:r>
        <w:t>C/18960/2015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(PICHONNAZ, Commentaire romand, Code civil I, n. 146 ad art. 125 CC).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ATF 132 III 598 consid. 9.1).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 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w:t>
      </w:r>
    </w:p>
    <w:p>
      <w:r>
        <w:rPr>
          <w:b/>
        </w:rPr>
        <w:t>E. 3.2</w:t>
      </w:r>
    </w:p>
    <w:p>
      <w:r>
        <w:t>En l'espèce, il n'est pas contestable que le mariage, notamment au vu de sa durée de près de 35 ans au moment de la séparation, a eu une influence concrète sur la situation financière de l'intimée. Reste donc à déterminer si, comme le soutient l'appelant, l'intimée est en mesure de pourvoir elle-même à son entretien et, dans l'hypothèse où tel ne serait pas le cas, si l'appelant dispose d'une capacité contributive.</w:t>
      </w:r>
    </w:p>
    <w:p>
      <w:r>
        <w:t>- 7/11 -</w:t>
      </w:r>
    </w:p>
    <w:p>
      <w:r>
        <w:t>C/18960/2015</w:t>
      </w:r>
    </w:p>
    <w:p>
      <w:r>
        <w:rPr>
          <w:b/>
        </w:rPr>
        <w:t>E. 4</w:t>
      </w:r>
    </w:p>
    <w:p>
      <w:r>
        <w:t>mars 2015 consid. 5.1.2).</w:t>
      </w:r>
    </w:p>
    <w:p>
      <w:r>
        <w:rPr>
          <w:b/>
        </w:rPr>
        <w:t>E. 4.1</w:t>
      </w:r>
    </w:p>
    <w:p>
      <w:r>
        <w:t>Lorsqu'il s'agit de fixer la contribution à l'entretien d'un conjoint dont la situation financière a été concrètement et durablement influencée par le mariage, l'art. 125 CC prescrit de procéder en trois étapes (ATF 137 III 102 consid. 4.2; 134 III 145 consid. 4).</w:t>
      </w:r>
    </w:p>
    <w:p>
      <w:r>
        <w:rPr>
          <w:b/>
        </w:rPr>
        <w:t>E. 4.1.1</w:t>
      </w:r>
    </w:p>
    <w:p>
      <w:r>
        <w:t>La première de ces étapes consiste à déterminer l'entretien convenable après avoir constaté le niveau de vie des époux pendant le mariage.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w:t>
      </w:r>
    </w:p>
    <w:p>
      <w:r>
        <w:rPr>
          <w:b/>
        </w:rPr>
        <w:t>E. 4.1.2</w:t>
      </w:r>
    </w:p>
    <w:p>
      <w:r>
        <w:t>La deuxième étape consiste à examiner dans quelle mesure l'époux créancier peut financer lui-même l'entretien arrêté à l'étape précédente du raisonnement (ATF 137 III 102 consid. 4.2.2.1) Comme il ne peut prétendre à une pension que s'il n'est pas en mesure de pourvoir lui-même à son entretien convenable (ATF 137 III 102 consid. 4.1.2; 134 III 145 consid. 4), il pourra, selon les circonstances, être contraint d'exercer une activité lucrative ou d'augmenter son taux de travail (ATF 130 III 537 consid. 3.2; 128 III 65 consid. 4a). Lorsque le juge examine la possibilité d'imputer à l'un des époux un revenu hypothétique,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w:t>
      </w:r>
    </w:p>
    <w:p>
      <w:r>
        <w:t>- 8/11 -</w:t>
      </w:r>
    </w:p>
    <w:p>
      <w:r>
        <w:t>C/18960/2015 question de fait (ATF 137 III 102 consid. 4.2.2; 128 III 4 consid. 4c/bb; 126 III 10 consid. 2b).</w:t>
      </w:r>
    </w:p>
    <w:p>
      <w:r>
        <w:rPr>
          <w:b/>
        </w:rPr>
        <w:t>E. 4.1.3</w:t>
      </w:r>
    </w:p>
    <w:p>
      <w:r>
        <w:t>Enfin,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fondée sur le principe de la solidarité (ATF 137 III 102 consid. 4.2.3.1; 134 III 145 consid. 4). Le minimum vital du débirentier doit dans tous les cas être préservé (ATF 135 III 66 consid. 2). La détermination de la contribution d'entretien relève du pouvoir d'appréciation du juge, qui applique les règles du droit et de l'équité (art. 4 CC; ATF 134 III 557 consid. 4; 127 III 136 consid. 3a; 116 II 103 consid. 2f).</w:t>
      </w:r>
    </w:p>
    <w:p>
      <w:r>
        <w:rPr>
          <w:b/>
        </w:rPr>
        <w:t>E. 4.2</w:t>
      </w:r>
    </w:p>
    <w:p>
      <w:r>
        <w:t>En l'espèce, dans la mesure où la situation financière des parties est modeste, et l'était également durant le mariage, la méthode du minimum vital élargi avec répartition de l'excédent entre les époux, appliquée par le Tribunal, permet de tenir compte adéquatement de leur niveau de vie antérieur. Il convient maintenant d'examiner les situations financières respectives des parties.</w:t>
      </w:r>
    </w:p>
    <w:p>
      <w:r>
        <w:rPr>
          <w:b/>
        </w:rPr>
        <w:t>E. 4.2.1</w:t>
      </w:r>
    </w:p>
    <w:p>
      <w:r>
        <w:t>L'intimée réalise un revenu mensuel net de 1'650 fr. pour une activité à 50% et il n'est pas contesté qu'elle ne peut pas augmenter son taux d'activité en raison de son état de santé.</w:t>
      </w:r>
    </w:p>
    <w:p>
      <w:r>
        <w:t>L'intimée atteindra l'âge de la retraite au mois de janvier 2018. La caisse de compensation a estimé que sa rente AVS se monterait à 864 fr. par mois. Au vu du partage par moitié des avoirs de prévoyance des époux, la rente LPP de l'intimée sera du même montant que celle de son ex-mari, qui a été estimée, par le premier juge - sans que cela ne soit contesté - à 680 fr. par mois. Contrairement à ce que soutient l'appelant, il ne se justifie pas de tenir compte des prestations complémentaires que son ex-épouse pourrait hypothétiquement percevoir lorsqu'elle aura atteint l'âge de la retraite, puisque celles-ci sont subsidiaires aux obligations d'entretien du droit de la famille (cf. arrêt du Tribunal fédéral 5A_724/2009 du 26 avril 2010 consid. 6.2 et les références citées). Dès le 1er février 2018, les revenus de l'intimée peuvent ainsi être estimés à 1'544 fr. Le premier juge a retenu que les charges incompressibles de l'intimée étaient de l'ordre de 3'150 fr., comprenant notamment 290 fr. d'impôts (les autres postes de charges étant incontestés).</w:t>
      </w:r>
    </w:p>
    <w:p>
      <w:r>
        <w:t>- 9/11 -</w:t>
      </w:r>
    </w:p>
    <w:p>
      <w:r>
        <w:t>C/18960/2015 L'appelant ne peut être suivi lorsqu'il soutient, au demeurant sans aucune motivation, que la charge d'impôts de son ex-épouse devrait être supprimée. En effet, le montant retenu par le premier juge n'apparaît pas excessif au regard de l'estimation obtenue par la "simulation des impôts (calculette)" de l'Etat de Genève (disponible sur le site https:// demain.ge.ch/paiement-impots/estimer- mon-impot-modifier-mes- acomptes), en tenant compte des revenus profes- sionnels de l'intimée, de la perception d'une contribution d'entretien, de ses primes d'assurance-maladie et de ses frais médicaux. L'intimée accuse donc actuellement un déficit mensuel de l'ordre de 1'500 fr., déficit qui sera porté à 1'600 fr. environ dès qu'elle sera à la retraite, de sorte qu'elle n'est pas en mesure de pourvoir seule à son entretien convenable.</w:t>
      </w:r>
    </w:p>
    <w:p>
      <w:r>
        <w:rPr>
          <w:b/>
        </w:rPr>
        <w:t>E. 4.2.2</w:t>
      </w:r>
    </w:p>
    <w:p>
      <w:r>
        <w:t>L'appelant réalise un revenu mensuel net de 5'400 fr. et le premier juge a arrêté ses charges incompressibles à un montant de 3'000 fr. L'appelant se contente de faire valoir que la mensualité de 401 fr. 10 relative au remboursement d'un crédit contracté fin juillet 2013 auprès de E______ SA aurait dû être prise en compte par le Tribunal. Faute de motivation, le grief est irrecevable, étant de toute manière relevé que comme mentionné par le premier juge, il n'a pas été établi que cet emprunt, contracté après la séparation des parties, ait effectivement été destiné à solder une dette du couple. L'appelant dispose ainsi d'un disponible mensuel de 2'400 fr.</w:t>
      </w:r>
    </w:p>
    <w:p>
      <w:r>
        <w:rPr>
          <w:b/>
        </w:rPr>
        <w:t>E. 4.3</w:t>
      </w:r>
    </w:p>
    <w:p>
      <w:r>
        <w:t>Après couverture du déficit actuel de l'intimée (1'500 fr.), l'appelant bénéficie encore d'un disponible de 900 fr., à partager par moitié entre les ex-époux, conformément aux règles rappelées ci-dessus. Compte tenu de ce qui précède, la contribution d'entretien post-divorce de 1'950 fr. (1'500 fr. + 450 fr.) fixée par le premier juge en faveur de l'intimée est adéquate et sera confirmée. Ladite contribution ne porte par ailleurs pas atteinte au minimum vital de l'appelant, puisque son disponible, après déduction de ses propres charges et de la contribution ainsi due à l'entretien de son ex-épouse, s'élève à 450 fr.</w:t>
      </w:r>
    </w:p>
    <w:p>
      <w:r>
        <w:t>Par ailleurs, il sera relevé qu'en fixant la contribution à ce montant, le Tribunal n'a pas statué ultra petita, contrairement à ce que soutient l'appelant. En effet, devant le premier juge, l'épouse a conclu à ce qu'il lui soit alloué une contribution d'entretien mensuelle de 1'400 fr. jusqu'au moment où elle atteindrait l'âge de la retraite en janvier 2018, puis de 1'937 fr. dès le 1er février 2018. Le second montant étant réclamé pour une période indéterminée, cela porte la valeur litigieuse à plus de 460'000 fr. (cf. consid. 1.1 supra). En fixant la pension à 1'950 fr. depuis le prononcé du divorce le 20 septembre 2016 jusqu'au</w:t>
      </w:r>
    </w:p>
    <w:p>
      <w:r>
        <w:t>- 10/11 -</w:t>
      </w:r>
    </w:p>
    <w:p>
      <w:r>
        <w:t>C/18960/2015 31 octobre 2019 (soit pendant environ 37 mois), le Tribunal a alloué à l'épouse un montant capitalisé de 72'150 fr. (37 x 1'950 fr.), de sorte qu'il est resté dans le cadre de ses conclusions, lui allouant au total moins que le montant global qu'elle avait réclamé. Les griefs de l'appelant sont donc infondés.</w:t>
      </w:r>
    </w:p>
    <w:p>
      <w:r>
        <w:rPr>
          <w:b/>
        </w:rPr>
        <w:t>E. 5</w:t>
      </w:r>
    </w:p>
    <w:p>
      <w:r>
        <w:t>L'appelant conteste le dies ad quem de la contribution d'entretien post-divorce. Il considère qu'aucune pension alimentaire ne serait due à partir du moment où l'intimée aura atteint l'âge de la retraite en janvier 2018. Par ailleurs, il soutient qu'en arrêtant la contribution d'entretien au 31 octobre 2019, date à laquelle il atteindra lui-même l'âge de la retraite, le Tribunal aurait statué ultra petita.</w:t>
      </w:r>
    </w:p>
    <w:p>
      <w:r>
        <w:rPr>
          <w:b/>
        </w:rPr>
        <w:t>E. 5.1</w:t>
      </w:r>
    </w:p>
    <w:p>
      <w:r>
        <w:t>Pour fixer la durée de la contribution d'entretien, le juge doit tenir compte des critères énumérés non exhaustivement à l'art. 125 al. 2 CC (ATF 132 III 598 consid. 9.1), en particulier de la fortune des époux (ch. 5) et des expectatives de l'assurances-vieillesse et de la prévoyance professionnelle ou d'autres formes de prévoyance (ch. 7). En pratique, l'obligation de verser une contribution à l'entretien est souvent fixée jusqu'au jour où le débiteur atteint l'âge de la retraite. Il n'est toutefois pas exclu de fixer une rente sans limitation de durée (ATF 132 III 593 consid. 7.2; arrêt du Tribunal fédéral 5A_679/2007 du 13 octobre 2008 consid. 4.6.1, publié in FamPra.ch 2009 p. 198).</w:t>
      </w:r>
    </w:p>
    <w:p>
      <w:r>
        <w:rPr>
          <w:b/>
        </w:rPr>
        <w:t>E. 5.2</w:t>
      </w:r>
    </w:p>
    <w:p>
      <w:r>
        <w:t>En l'espèce, il a été retenu ci-dessus (cf. consid. 4.2.1) que le déficit de l'intimée sera d'environ 1'600 fr. lorsqu'elle sera à la retraite. Il se justifie donc que l'appelant continue de contribuer à son entretien au-delà du mois de janvier 2018.</w:t>
      </w:r>
    </w:p>
    <w:p>
      <w:r>
        <w:t>Par ailleurs, dans la mesure où l'intimée avait conclu au versement d'une pension alimentaire pour une durée indéterminée, le premier juge n'a pas statué ultra petita en fixant le dies ad quem au 31 octobre 2019. Partant, l'appel sera rejeté sur ce point également.</w:t>
      </w:r>
    </w:p>
    <w:p>
      <w:r>
        <w:rPr>
          <w:b/>
        </w:rPr>
        <w:t>E. 6</w:t>
      </w:r>
    </w:p>
    <w:p>
      <w:r>
        <w:t>Les frais judiciaires d'appel, fixés à 1'250 fr. (art. 30 et 35 RTFMC), seront mis à la charge de l'appelant, qui succombe intégralement (art. 104 al. 1, 105, 106 al. 1 CPC). L'appelant plaidant au bénéfice de l'assistance judiciaire, les frais précités seront provisoirement laissés à la charge de l'Etat (art. 122 al. 1 let. b et 123 CPC). Pour des motifs d'équité liés à la nature du litige, chaque partie supportera ses propres dépens d'appel (art. 107 al. 1 let. c. CPC). * * * * * *</w:t>
      </w:r>
    </w:p>
    <w:p>
      <w:r>
        <w:t>- 11/11 -</w:t>
      </w:r>
    </w:p>
    <w:p>
      <w:r>
        <w:t>C/18960/2015 PAR CES MOTIFS, La Chambre civile : A la forme : Déclare recevable l'appel interjeté par A______ contre le jugement JTPI/11877/2016 rendu le 20 septembre 2016 par le Tribunal de première instance dans la cause C/18960/2015-18. Au fond : Confirme le jugement entrepris. Sur les frais : Arrête les frais judiciaires d'appel à 1'250 fr., les met à la charge de A______ et dit qu'ils sont provisoirement supportés par l'Etat de Genève. Dit que chaque partie supporte ses propres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