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ACJC/26/2016 vom 18. Januar 2016</w:t>
      </w:r>
    </w:p>
    <w:p>
      <w:r>
        <w:t>GE Cour de justice, 2016-01-18, FR</w:t>
      </w:r>
    </w:p>
    <w:p>
      <w:r>
        <w:rPr>
          <w:b/>
        </w:rPr>
        <w:t xml:space="preserve">Quelle: </w:t>
      </w:r>
      <w:r>
        <w:t>https://mcp.opencaselaw.ch/entscheid/ge_gerichte_ACJC_26_2016</w:t>
      </w:r>
    </w:p>
    <w:p>
      <w:r>
        <w:t>FR: GE_GERICHTE ACJC/26/2016 du 18 janvier 2016</w:t>
      </w:r>
    </w:p>
    <w:p>
      <w:r>
        <w:t>IT: GE_GERICHTE ACJC/26/2016 del 18 gennaio 2016</w:t>
      </w:r>
    </w:p>
    <w:p>
      <w:pPr>
        <w:pStyle w:val="Heading2"/>
      </w:pPr>
      <w:r>
        <w:t>Volltext</w:t>
      </w:r>
    </w:p>
    <w:p>
      <w:r>
        <w:t>Le présent arrêt est communiqué aux parties par plis recommandés ainsi qu'au Tribunal de première instance le 18 janvier 2016.</w:t>
      </w:r>
    </w:p>
    <w:p>
      <w:r>
        <w:t>RÉPUBLIQUE ET</w:t>
      </w:r>
    </w:p>
    <w:p>
      <w:r>
        <w:t>CANTON DE GENÈVE POUVOIR JUDICIAIRE C/11141/2013 ACJC/26/2016 ARRÊT DE LA COUR DE JUSTICE Chambre civile DU LUNDI 18 JANVIER 2016</w:t>
      </w:r>
    </w:p>
    <w:p>
      <w:r>
        <w:t>Entre A______, domicilié ______, Genève, recourant contre une ordonnance rendue par la 8ème Chambre du Tribunal de première instance de ce canton le 27 novembre 2015, comparant par Me Nils de Dardel, avocat, 13, boulevard Georges-Favon, 1204 Genève, en l'étude duquel il fait élection de domicile, et B______, sise ______, (VD), intimée, comparant par Me Michel Bergmann, avocat, 8-10, rue de Hesse, case postale 5715, 1211 Genève 11, en l'étude duquel elle fait élection de domicile.</w:t>
      </w:r>
    </w:p>
    <w:p>
      <w:r>
        <w:t>- 2/4 -</w:t>
      </w:r>
    </w:p>
    <w:p>
      <w:r>
        <w:t>C/11141/2013 Vu, EN FAIT, l'ordonnance ORTPI/788/2015 du 27 novembre 2015, notifiée le 2 décembre 2015 à A______, par laquelle le Tribunal de première instance a révoqué son ordonnance d'expertise du 17 septembre 2015 en tant qu'elle avait désigné le Dr C______ comme expert et a désigné à cette fin la Clinique romande de réadaptation à Sion (ch. 3 du dispositif); Vu le recours formé contre cette ordonnance par acte expédié le 14 décembre 2015 par A______ à la Cour de justice par lequel il conclut à l'annulation du chiffre 3 précité et au renvoi de la cause au Tribunal pour nouvelle décision sur ce point; Qu'il requiert l'octroi de l'effet suspensif, exposant qu'à défaut et en cas d'admission de son recours, l'expert aurait commencé un travail inutile; Que B______ conclut au rejet de cette requête, le recours étant dénué de toute chance de succès, dès lors que contrairement à l'avis du recourant, le Tribunal pouvait désigner comme expert une personne morale et que le recourant pourra faire valoir ses motifs de récusation dès que les experts seront désignés nommément;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w:t>
      </w:r>
    </w:p>
    <w:p>
      <w:r>
        <w:t>- 3/4 -</w:t>
      </w:r>
    </w:p>
    <w:p>
      <w:r>
        <w:t>C/11141/2013 Qu'en l'espèce, il n'apparaît pas que le refus d'effet suspensif soit de nature à créer pour le recourant une situation irréversible; Qu'en effet, les personnes qui seront chargées au sein de la Clinique romande de réadaptation de réaliser l'expertise ne sont pas encore désignées; Qu'une fois leur identité connue, le recourant pourra faire valoir ses éventuels motifs de récusation et contester, le cas échéant, la décision qui sera rendue à cet égard; Qu'il apparaît ainsi que l'absence d'effet suspensif au présent recours – qui au demeurant en est déjà au stade de la duplique et arrivera, ainsi, à son terme prochainement – n'est pas de nature à créer pour le recourant une situation difficilement réparable, ni a fortiori irréversible; Qu'au vu de ce qui précède, la requête tendant à la suspension de l'effet exécutoire attaché au chiffre 3 du dispositif de l'ordonnance querellée sera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w:t>
      </w:r>
    </w:p>
    <w:p>
      <w:r>
        <w:t>- 4/4 -</w:t>
      </w:r>
    </w:p>
    <w:p>
      <w:r>
        <w:t>C/11141/2013 PAR CES MOTIFS, La Présidente de la Chambre civile : Statuant sur suspension de l'exécution : Rejette la requête de A______ tendant à la suspension de l'effet exécutoire attaché au chiffre 3 de l'ordonnance ORTPI/788/2015 rendue le 27 novembre 2015 par le Tribunal de première instance dans la procédure C/11141/2013-8.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