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ACJC/268/2024 vom 20. Mai 2021</w:t>
      </w:r>
    </w:p>
    <w:p>
      <w:r>
        <w:t>GE Cour de justice, 2021-05-20, FR</w:t>
      </w:r>
    </w:p>
    <w:p>
      <w:r>
        <w:rPr>
          <w:b/>
        </w:rPr>
        <w:t xml:space="preserve">Quelle: </w:t>
      </w:r>
      <w:r>
        <w:t>https://mcp.opencaselaw.ch/entscheid/ge_gerichte_ACJC_268_2024</w:t>
      </w:r>
    </w:p>
    <w:p>
      <w:r>
        <w:t>FR: GE_GERICHTE ACJC/268/2024 du 20 mai 2021</w:t>
      </w:r>
    </w:p>
    <w:p>
      <w:r>
        <w:t>IT: GE_GERICHTE ACJC/268/2024 del 20 maggio 2021</w:t>
      </w:r>
    </w:p>
    <w:p>
      <w:pPr>
        <w:pStyle w:val="Heading2"/>
      </w:pPr>
      <w:r>
        <w:t>Erwägungen</w:t>
      </w:r>
    </w:p>
    <w:p>
      <w:r>
        <w:rPr>
          <w:b/>
        </w:rPr>
        <w:t>E. 1</w:t>
      </w:r>
    </w:p>
    <w:p>
      <w:r>
        <w:t>L'appelante sollicite une rectification/interprétation de l'arrêt de la Cour du</w:t>
      </w:r>
    </w:p>
    <w:p>
      <w:r>
        <w:rPr>
          <w:b/>
        </w:rPr>
        <w:t>E. 1.2</w:t>
      </w:r>
    </w:p>
    <w:p>
      <w:r>
        <w:t>En l'espèce, il est constant que la Cour, dans son arrêt du 5 septembre 2023 dont la rectification est sollicitée, a annulé le jugement du 14 octobre 2022, lequel réglait sous chiffre 4 de son dispositif le sort des sûretés fournies par B______ LTD, a statué à nouveau sur le fond, condamné B______ LTD au paiement de dépens de première et seconde instance en faveur de A______ SA</w:t>
      </w:r>
    </w:p>
    <w:p>
      <w:r>
        <w:t>- 7/8 -</w:t>
      </w:r>
    </w:p>
    <w:p>
      <w:r>
        <w:t>C/17541/2020 mais n'a pas abordé, dans ses considérants ou dans le dispositif, le sort des sûretés fournies en garantie des dépens par B______ LTD devant le Tribunal. Il n'existe ainsi aucune contradiction entre les considérants et le dispositif de l'arrêt, et celui-ci n'est pas incomplet au regard des premiers. Même à admettre que les sûretés suivent en principe le sort des dépens, comme le soutient TAPPY, il n'en reste pas moins que le juge doit se prononcer sur leur sort, lequel peut varier suivant la nature que celles-ci revêtent ou suivant leur montant au regard des dépens alloués. Il se pourrait également qu'au moment de rendre la décision finale, le juge décide que les conditions à la fourniture de sûretés ne sont plus réalisées et en ordonne la levée. Il découle de ce qui précède qu'il ne peut être statué par la voie de la rectification sur le sort des sûretés en garantie des dépens, une telle décision emportant modification matérielle du dispositif. La requête en rectification doit être rejetée. 2. Les frais de la présente décision seront laissés à la charge du canton (art. 107 al. 2 CPC).</w:t>
      </w:r>
    </w:p>
    <w:p>
      <w:r>
        <w:t>Il ne sera pas alloué de dépens à la citée, l'art. 107 al. 2 CPC ne le permettant pas (ATF 140 III 385 consid. 4.1). * * * * *</w:t>
      </w:r>
    </w:p>
    <w:p>
      <w:r>
        <w:t>- 8/8 -</w:t>
      </w:r>
    </w:p>
    <w:p>
      <w:r>
        <w:t>C/17541/2020 PAR CES MOTIFS, La Chambre civile : Statuant sur requête de rectification : Rejette la requête de rectification de l'arrêt ACJC/1142/2023 rendu par la Cour le 5 septembre 2023 formée par A______ SA le 18 janvier 2024. Dit que les frais de la présente décision sont laissés à la charge du canton. Dit qu'il n'est pas alloué de dépens. Siégeant : Monsieur Cédric-Laurent MICHEL, Président; Madame Pauline ERARD, Madame Paola CAMPOMAGNANI,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5</w:t>
      </w:r>
    </w:p>
    <w:p>
      <w:r>
        <w:t>septembre 2023 au sens de l'art. 334 CPC. 1.1.1 Aux termes de l'art. 334 al. 1 CPC, si le dispositif de la décision est peu clair, contradictoire ou incomplet, ou s'il ne correspond pas à la motivation, le Tribunal procède, sur requête ou d'office, à l'interprétation ou à la rectification de la décision. La procédure d'interprétation ou de rectification comporte deux étapes. Dans une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(arrêt 5D_776/2019, précité, consid. 3.1 et les références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(arrêt du Tribunal fédéral 4A_393/2023 du</w:t>
      </w:r>
    </w:p>
    <w:p>
      <w:r>
        <w:rPr>
          <w:b/>
        </w:rPr>
        <w:t>E. 9</w:t>
      </w:r>
    </w:p>
    <w:p>
      <w:r>
        <w:t>janvier 2024 consid. 4.1.2). En revanche, la correction d'erreurs qui procèdent d'une mauvaise application du droit ou d'une constatation inexacte des faits doit être effectuée par la voie du recours (HERZOG, Basler Kommentar, Schweizerische Zivilprozessordnung, 2017, n° 8 ad art. 334 CPC). L'interprétation et la rectification ne tendent pas à modifier le jugement rendu (JEANDIN, Commentaire romand CPC, 2019, n° 20 ad Intro art. 308-334 CPC), à la manière d'un appel déguisé. Le juge saisi d'une demande d'interprétation ou de rectification ne doit donc pas changer le fond du jugement (SPÜHLER/DOLGE/GEHRI, SCHWEIZERISCHES ZIVILPROZESSRECHT, 2010, n° 101 p. 389). En effet, en vertu du principe de dessaisissement, le juge ne peut corriger sa décision une fois celle-ci prononcée, même s'il a le sentiment de s'être trompé. Une erreur de fait ou de droit ne peut être corrigée que par les voies de recours (SCHWEIZER, Commentaire romand Code de procédure civile, 2019, n° 1 ad art. 334 CPC).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w:t>
      </w:r>
    </w:p>
    <w:p>
      <w:r>
        <w:t>- 5/8 -</w:t>
      </w:r>
    </w:p>
    <w:p>
      <w:r>
        <w:t>C/17541/2020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(BASTONS BULLETTI, Petit commentaire Code de procédure civile, 2020, n° 1 ad art. 334 CPC; ATF 139 III 379 consid. 2.2).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5A_79/2019 du 21 novembre 2019 consid. 4.4.2 et 5D_197/2017 du 17 mai 2018 consid. 3.2). La requête doit être adressée à l'autorité qui a rendu le jugement dont l'interprétation ou la rectification est requise (ATF 143 III 520 consid. 6.2). 1.1.2 Selon TAPPY, bien que l’art. 111 CPC ne prévoie rien expressément au sujet des sûretés, constituées en garantie des dépens selon l’art. 99 CPC (FISCHER SHK ZPO, art. 111 N 2 et 12), le sort final d’une cautio judicatum solvi peut être réglé par application analogique de l’art. 111 CPC. Il n’est en effet pas déraisonnable d’admettre que ce dernier vise le règlement final des questions de frais au sens large. Le tribunal pourra donc également régler le sort des sûretés dans la décision au sujet des frais. Il faut à cet égard distinguer selon que des dépens sont alloués ou non d’une part, selon que les sûretés ont été constituées par un versement ou par la remise d’une garantie bancaire ou d’assurance d’autre part. Si des dépens sont alloués et que des sûretés qui en garantissent le paiement ont été constituées par un versement d’argent, la règle devant le Tribunal fédéral (auprès de qui des sûretés au sens de l’art. 62 al. 2 LTF sont en pratique toujours constituées en espèces) est de faire verser la somme correspondante directement en main de la partie à qui ces dépens sont alloués (CORBOZ, LTF, art. 62 N 42 s.), seule la différence éventuelle étant restituée au constituant des sûretés, respectivement allouée sous forme d’une créance en dépens. Même si une base légale expresse serait évidemment préférable, cette pratique assure avec simplicité une affectation desdites sûretés conforme à leur but. Elle paraît donc pouvoir être transposée à des sûretés en espèces fournies selon l’art. 99 CPC. En revanche, elle n’est pas adaptée à des sûretés personnelles selon l’art. 100 al. 1 CPC. Si des dépens sont alloués et que des sûretés qui en garantissent le paiement ont été constituées sous la forme d’une garantie bancaire ou d’assurance, la décision réglant le sort des frais devra simplement fixer le</w:t>
      </w:r>
    </w:p>
    <w:p>
      <w:r>
        <w:t>- 6/8 -</w:t>
      </w:r>
    </w:p>
    <w:p>
      <w:r>
        <w:t>C/17541/2020 montant des dépens dus en spécifiant que leur paiement est assuré par la garantie en question. Il appartiendra à la partie créancière des dépens, et non au tribunal lui-même, de faire appel ensuite à la garantie (apparemment d’avis contraire, FISCHER, op. cit., art. 111 N 15), éventuellement dans un délai fixé à dire de justice. Si la décision ne condamne pas la partie ayant constitué des sûretés en espèces à verser des dépens, ces sûretés doivent en principe lui être restituées. Il doit d’ailleurs en aller de même d’un éventuel surplus. Les solutions proposées plus haut en cas de restitution partielle ou totale d’avances, en particulier la restitution dès l’entrée en force de la décision sur les frais, sans intérêts pour la période écoulée depuis le versement en mains du tribunal, pourront s’appliquer par analogie. Faute de base légale on ne saurait à notre avis appliquer dans ce cas le système de compensation de l’art. 111 al. 1 en utilisant cet argent prioritairement pour couvrir des frais judiciaires à la charge de l’autre partie ou d’un tiers (dans le même sens RÜEGG/RÜEGG, BSK ZPO, art. 111 N 4). En revanche, une compensation à proprement parler, fondée sur l’art. 120 CO applicable à titre de droit public supplétif, pourrait être envisagée avec la créance en restitution de ces sûretés dans les cas, rares, où l’Etat aurait par ailleurs contre la partie ayant versé de telles sûretés en espèces une créance selon l’art. 111 CPC (cf. apparemment en ce sens FISCHER, op. cit., art. 111 N 5 et 14) (TAPPY, CR CPC, art. 111 N 16-19). 1.1.3 Les sûretés peuvent être supprimées et restituées chaque fois que cesse d’exister en cours de procès la cause d’obligation qui avait justifié leur fourniture, même si elle était fondée sur la clause générale de l’art. 99 al. 1 let. d CPC (RÜEGG/RÜEGG, BSK ZPO, art. 100 N 3), cela de façon contraire à ce que prévoyaient jusqu’en 2010 certaines réglementations cantonales (cf. notamment ZR 72 n ° 23 et FRANK/STRÄULI/MESSMER, § 79 ZPO-ZH N 4 ; voir aussi art. 117 al. 2 CPC-FR ne permettant la libération des sûretés si le demandeur établit son domicile en Suisse pendant le procès que s’il y est propriétaire de biens immobiliers offrant une garantie suffisante). Logiquement, il devrait en résulter que, dans le cas d’une obligation de fournir des sûretés fondée exclusivement sur l’existence de dépens impayés d’une procédure antérieure (art. 99 al. 1 let. c CPC), leur paiement pourrait entraîner la libération de sûretés déjà constituées, comme un tel paiement entre la demande de sûretés et la décision du juge peut entraîner un rejet de ladite demande (art. 99 N 35) (TAPPY, CR CPC, art. 100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