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ACJC/268/2019 vom 12. Februar 2019</w:t>
      </w:r>
    </w:p>
    <w:p>
      <w:r>
        <w:t>GE Cour de justice, 2019-02-12, FR</w:t>
      </w:r>
    </w:p>
    <w:p>
      <w:r>
        <w:rPr>
          <w:b/>
        </w:rPr>
        <w:t xml:space="preserve">Quelle: </w:t>
      </w:r>
      <w:r>
        <w:t>https://mcp.opencaselaw.ch/entscheid/ge_gerichte_ACJC_268_2019</w:t>
      </w:r>
    </w:p>
    <w:p>
      <w:r>
        <w:t>FR: GE_GERICHTE ACJC/268/2019 du 12 février 2019</w:t>
      </w:r>
    </w:p>
    <w:p>
      <w:r>
        <w:t>IT: GE_GERICHTE ACJC/268/2019 del 12 febbraio 2019</w:t>
      </w:r>
    </w:p>
    <w:p>
      <w:pPr>
        <w:pStyle w:val="Heading2"/>
      </w:pPr>
      <w:r>
        <w:t>Erwägungen</w:t>
      </w:r>
    </w:p>
    <w:p>
      <w:r>
        <w:rPr>
          <w:b/>
        </w:rPr>
        <w:t>E. 1.1</w:t>
      </w:r>
    </w:p>
    <w:p>
      <w:r>
        <w:t>L'appel est recevable pour avoir été interjeté dans les délai et forme utiles (art. 130, 131, 142 al. 1 et 311 CPC) par une partie qui y a intérêt (art. 59 al. 2 let. a CPC), à l'encontre d'une décision finale (art. 308 al. 1 let. a CPC) qui statue sur des conclusions pécuniaires dont la valeur litigieuse est supérieure à 10'000 fr. (art. 91 al. 1 et 308 al. 2 CPC).</w:t>
      </w:r>
    </w:p>
    <w:p>
      <w:r>
        <w:t>- 7/13 -</w:t>
      </w:r>
    </w:p>
    <w:p>
      <w:r>
        <w:t>C/24720/2015</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En particulier, il contrôle librement l'appréciation des preuves effectuée par le juge de première instance (art. 157 CPC en relation avec l'art. 310 let. b CPC) et vérifie si celui-ci pouvait admettre les faits qu'il a retenus (arrêt du Tribunal fédéral 4A_55/2017 du 16 juin 2017 consid. 5.2.3.2).</w:t>
      </w:r>
    </w:p>
    <w:p>
      <w:r>
        <w:t>La maxime des débats et le principe de disposition sont applicables (art. 55 al. 1 et 58 al. 1 CPC).</w:t>
      </w:r>
    </w:p>
    <w:p>
      <w:r>
        <w:rPr>
          <w:b/>
        </w:rPr>
        <w:t>E. 2</w:t>
      </w:r>
    </w:p>
    <w:p>
      <w:r>
        <w:t>L'appelant reproche au Tribunal d'avoir violé son droit d'être entendu en omettant, dans sa décision, de prendre position sur ses explications en lien avec la pratique appliquée en matière de vente de matériel de neurostimulation. Dans ce domaine, le médecin qui commandait du matériel se voyait uniquement facturer celui qu'il avait effectivement utilisé et renvoyait les produits inutilisés. Il requiert l'audition de cinq témoins, lesquels pouvaient attester de la pratique en matière de vente de matériel médical.</w:t>
      </w:r>
    </w:p>
    <w:p>
      <w:r>
        <w:rPr>
          <w:b/>
        </w:rPr>
        <w:t>E. 2.1</w:t>
      </w:r>
    </w:p>
    <w:p>
      <w:r>
        <w:t>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w:t>
      </w:r>
    </w:p>
    <w:p>
      <w:r>
        <w:rPr>
          <w:b/>
        </w:rPr>
        <w:t>E. 2.2</w:t>
      </w:r>
    </w:p>
    <w:p>
      <w:r>
        <w:t>En l'espèce, la question de savoir s'il existe une pratique en matière de vente de matériel du type de celui litigieux et quelle est cette pratique n'est pas pertinente pour trancher le litige. En effet, la nature du contrat conclu par les parties et leurs obligations respectives en découlant doit être déterminée en fonction des volontés qu'elles ont exprimées en l'espèce.</w:t>
      </w:r>
    </w:p>
    <w:p>
      <w:r>
        <w:t>- 8/13 -</w:t>
      </w:r>
    </w:p>
    <w:p>
      <w:r>
        <w:t>C/24720/2015</w:t>
      </w:r>
    </w:p>
    <w:p>
      <w:r>
        <w:t>A cet égard, il ne ressort pas du dossier que les parties se seraient à un moment ou un autre référées à une pratique existante en matière de modalités de vente de matériel médical.</w:t>
      </w:r>
    </w:p>
    <w:p>
      <w:r>
        <w:t>Il importe par conséquent peu de savoir quels sont les termes des contrats de livraison de matériel médical conclus entre d'autres médecins et d'autres sociétés à l'occasion d'autres transactions.</w:t>
      </w:r>
    </w:p>
    <w:p>
      <w:r>
        <w:t>Il n'y a donc pas lieu de procéder aux auditions de témoins sollicitées par l'appelant lesquelles portent sur des faits qui ne sont pas pertinents pour l'issue du litige.</w:t>
      </w:r>
    </w:p>
    <w:p>
      <w:r>
        <w:rPr>
          <w:b/>
        </w:rPr>
        <w:t>E. 3</w:t>
      </w:r>
    </w:p>
    <w:p>
      <w:r>
        <w:t>Le Tribunal a retenu que, par son courriel du 26 septembre 2012, l'appelant avait accepté l'offre de l'intimée de lui vendre le matériel médical figurant sur la liste annexée au courriel, au prix indiqué. Il ne ressortait pas de cet échange de courriel qu'il s'agissait d'une vente à l'examen. Même si tel avait été le cas, la vente à l'examen était venue à chef car l'appelant avait pris livraison sans réserve des appareils de l'intimée; après avoir été sommé d'en payer le prix en octobre 2013, il n'avait pas manifesté son refus du matériel livré mais avait au contraire sollicité un délai supplémentaire pour le payer.</w:t>
      </w:r>
    </w:p>
    <w:p>
      <w:r>
        <w:t>L'appelant fait valoir que les parties avaient convenu d'une vente à l'essai, à savoir qu'il informait l'intimée de ses besoins en matériel, que celle-ci livrait le matériel convenu, que le matériel utilisé était facturé à l'appelant et que le matériel non utilisé était restitué à l'intimée, sans être facturé. Le montant réclamé ne correspondait en outre pas au matériel livré.</w:t>
      </w:r>
    </w:p>
    <w:p>
      <w:r>
        <w:t>3.1.1 Le contrat est parfait lorsque les parties ont, réciproquement et d'une manière concordante, manifesté leur volonté (art. 1 al. 1 CO). Cette manifestation peut être expresse ou tacite (art. 1 al. 2 CO).</w:t>
      </w:r>
    </w:p>
    <w:p>
      <w:r>
        <w:t>Si les parties se sont mises d'accord sur tous les points essentiels, le contrat est réputé conclu, lors même que des points secondaires ont été réservés (art. 2 al. 1 CO).</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w:t>
      </w:r>
    </w:p>
    <w:p>
      <w:r>
        <w:t>- 9/13 -</w:t>
      </w:r>
    </w:p>
    <w:p>
      <w:r>
        <w:t>C/24720/2015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Le juge tiendra compte des termes utilisés ainsi que du contexte et de l'ensemble des circonstances dans lesquelles les déclarations ont été émises (ATF 125 III 305 consid. 2b et les références citées).</w:t>
      </w:r>
    </w:p>
    <w:p>
      <w:r>
        <w:t>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du Tribunal fédéral 4A_290/2017 du 12 mars 2018 consid. 5.1). L'art. 8 CC ne joue de rôle que dans l'établissement des circonstances concrètes nécessaires pour l'interprétation de la volonté des parties (subjective ou objective) (arrêt du Tribunal fédéral 4A_343/2017 du 1er mai 2018 consid. 2.1.).</w:t>
      </w:r>
    </w:p>
    <w:p>
      <w:r>
        <w:t>3.1.2 La vente est un contrat par lequel le vendeur s'oblige à livrer la chose vendue à l'acheteur et à lui en transférer la propriété, moyennant un prix que l'acheteur s'engage à lui payer (art. 184 al. 1 CO). Le prix de vente est suffisamment déterminé lorsqu'il peut l'être d'après les circonstances (art. 184 al. 3 CO).</w:t>
      </w:r>
    </w:p>
    <w:p>
      <w:r>
        <w:t>Les points objectivement essentiels du contrat de vente, qui se rapportent aux obligations principales des parties, sont la personne du vendeur et de l'acheteur, la détermination de la chose vendue et de son prix (MORIN, in Commentaire romand, THEVENOZ/WERRO (éd.), Code des obligations I, 2ème éd., 2012, n° 2 et 4 ad art. 2 CO).</w:t>
      </w:r>
    </w:p>
    <w:p>
      <w:r>
        <w:t>La loi ne soumet pas le contrat de vente mobilière au respect d'une forme particulière (art. 216 al. 1 CO a contrario).</w:t>
      </w:r>
    </w:p>
    <w:p>
      <w:r>
        <w:t>L'acheteur est tenu de payer le prix conformément aux clauses du contrat et d'accepter la chose vendue, pourvu qu'elle lui soit offerte dans les conditions stipulées (art. 211 al. 1 CO).</w:t>
      </w:r>
    </w:p>
    <w:p>
      <w:r>
        <w:t>3.1.3 La vente à l'examen ou à l'essai est régie par les art. 223 à 225 CO. Il s'agit d'une vente où l'acheteur est libre d'agréer la chose ou de la refuser (art. 223</w:t>
      </w:r>
    </w:p>
    <w:p>
      <w:r>
        <w:t>- 10/13 -</w:t>
      </w:r>
    </w:p>
    <w:p>
      <w:r>
        <w:t>C/24720/2015 al. 1 CO). Tant que la chose n'est pas agréée, le vendeur en reste propriétaire, même si elle est passée en la possession de l'acheteur (art. 223 al. 2 CO).</w:t>
      </w:r>
    </w:p>
    <w:p>
      <w:r>
        <w:t>Cette vente est par conséquent subordonnée à la condition suspensive de l'agrément de l'acheteur (art. 151 et 223 CO. Ce type de vente crée un état d'incertitude; le vendeur ne peut rester indéfiniment à la merci de l'acheteur. Il faut qu'il puisse savoir le plus tôt possible à quoi s'en tenir. C'est le but des règles énoncées aux art. 224 et 225 CO (TERCIER/BIERI/CARRON, Les contrats spéciaux, 5ème éd., 2016, n° 1261-1264). Lorsque la chose a été remise à l'acheteur avant l'examen, la vente est réputée parfaite si l'acheteur ne déclare pas refuser la chose ou ne la rend pas dans le délai fixé par la convention ou par l'usage, ou, faute d'un délai ainsi fixé, immédiatement après la sommation du vendeur (art. 225 al. 1 CO). Le silence de l'acheteur est donc interprété comme un agrément (TERCIER/BIERI/CARRON, op. cit. n° 1266).</w:t>
      </w:r>
    </w:p>
    <w:p>
      <w:r>
        <w:rPr>
          <w:b/>
        </w:rPr>
        <w:t>E. 3.2</w:t>
      </w:r>
    </w:p>
    <w:p>
      <w:r>
        <w:t>En l'espèce, il convient de relever en premier lieu que c'est à bon droit que le Tribunal a retenu que les pièces jointes au courriel de l'intimée du 26 septembre 2012 étaient celles produites sous pièce n° 9 du chargé de l'intimée. En effet, l'appelant, qui conteste ce fait, n'a produit aucune pièce à l'appui de ses allégations et n'a en particulier pas fourni le document qui, à son sens, serait le document que l'intimée lui aurait transmis.</w:t>
      </w:r>
    </w:p>
    <w:p>
      <w:r>
        <w:t>S'il est vrai que la lettre de couverture de D______ est datée du 24 avril 2014, les explications de l'intimée à ce sujet, soit que l'ordinateur aurait automatiquement changé la date du document au moment de son impression, paraissent crédibles et ont été confirmées par le témoin D______.</w:t>
      </w:r>
    </w:p>
    <w:p>
      <w:r>
        <w:t>Par ailleurs, la liste de matériel et les prix figurant sur ce document correspondent presque intégralement à ceux figurant dans la facture du 27 septembre 2012 que l'appelant admet avoir reçue (la différence de 255 fr. sur la facture est due au fait qu'il y a deux accessoires en plus).</w:t>
      </w:r>
    </w:p>
    <w:p>
      <w:r>
        <w:t>Les déclarations de l'appelant et celles du témoin D______ divergent sur la teneur de l'entretien qui a précédé l'échange de courriels du 26 septembre 2012.</w:t>
      </w:r>
    </w:p>
    <w:p>
      <w:r>
        <w:t>Le contenu de cet échange de courriels confirme cependant la version de l'intimée. En effet, il ne mentionne aucun droit pour l'appelant de retourner le matériel livré dans l'hypothèse où celui-ci ne pourrait pas être utilisé par l'appelant. Aucune référence n'est en outre faite à une vente à l'essai, laquelle serait subordonnée à un agrément ultérieur de l'acheteur comme l'appelant le soutient.</w:t>
      </w:r>
    </w:p>
    <w:p>
      <w:r>
        <w:t>Les annexes au courriel de D______ du 26 septembre 2012 comportent tous les éléments nécessaires à la conclusion d'une vente ordinaire, à savoir l'indication des marchandises et le prix. Il est en outre précisé que la commande doit se faire</w:t>
      </w:r>
    </w:p>
    <w:p>
      <w:r>
        <w:t>- 11/13 -</w:t>
      </w:r>
    </w:p>
    <w:p>
      <w:r>
        <w:t>C/24720/2015 auprès de C______ AG, entité à laquelle l'appelant a bien adressé sa réponse selon laquelle il était d'accord avec la proposition.</w:t>
      </w:r>
    </w:p>
    <w:p>
      <w:r>
        <w:t>L'acceptation par l'appelant des conditions proposées par l'intimée pour la vente est de plus confirmée par le fait qu'il n'a pas contesté la teneur de la facture du 27 septembre 2012, qui ne prévoit aucun droit de retour et indique qu'elle est payable du 26 mars 2013.</w:t>
      </w:r>
    </w:p>
    <w:p>
      <w:r>
        <w:t>A cela s'ajoute que les déclarations faites par l'appelant devant le Tribunal sont contradictoires avec sa version des faits. Il a en effet prétendu qu'il ne pouvait pas utiliser le matériel car il n'avait pas obtenu l'accord du médecin conseil de sorte qu'il était convenu qu'il restituerait le matériel à la fin de l'année, lorsque les chiffres de vente de D______ auraient été rendus. Il a précisé qu'il n'était même pas arrivé à la demande au médecin conseil car cela avait été abandonné très vite.</w:t>
      </w:r>
    </w:p>
    <w:p>
      <w:r>
        <w:t>Or l'appelant n'a pas renvoyé le matériel à la fin de l'année 2012, ni d'ailleurs à la fin de l'année 2013. Il a de plus prétendu par courrier adressé début octobre 2013 (la date précise n'est pas indiquée sur ce courrier) à l'intimée que la prise en charge du matériel état "d'ores et déjà accordée (par écrit) par les caisses".</w:t>
      </w:r>
    </w:p>
    <w:p>
      <w:r>
        <w:t>Au vu de ce qui précède, la Cour considère qu'il est établi que les parties ont convenu de conclure un contrat de vente, l'accord de leurs volontés ayant porté sur tous les éléments essentiels du contrat, soit la personne du vendeur (l'intimée) et de l'acheteur (l'appelant), la détermination de la chose vendue (le matériel répertorié en pièce n° 9) et son prix (accepté par l'appelant le 26 septembre 2012).</w:t>
      </w:r>
    </w:p>
    <w:p>
      <w:r>
        <w:t>Le fait que la rétrocession prévue dans l'accord du 26 septembre 2012 n'ait finalement pas été versée par l'intimée à l'appelant ne change en rien cette conclusion. En effet, il n'est pas démontré que cette rétrocession était un élément subjectivement essentiel du contrat conclu entre les parties.</w:t>
      </w:r>
    </w:p>
    <w:p>
      <w:r>
        <w:t>Même à considérer que les parties auraient convenu d'une vente à l'essai (ce qui ne correspond pas aux constatations de fait), ce dernier contrat aurait été parfait. En effet, l'appelant, après avoir été sommé par l'intimée le 7 octobre 2013 de payer le prix des produits reçus, n'a pas immédiatement refusé ou rendu le matériel en question. Il a au contraire attendu fin avril 2014, soit plus de six mois, pour le restituer, de sorte que la vente aurait de toute façon été concrétisée.</w:t>
      </w:r>
    </w:p>
    <w:p>
      <w:r>
        <w:t>L'appelant conteste que le montant réclamé par l'intimée corresponde au matériel livré. Il n'apporte cependant aucun élément concret à l'appui de ses affirmations. Si le matériel livré ne correspondait pas à ce qui avait été convenu dans la commande, il lui aurait incombé d'en faire part dès réception à l'intimée, ce qu'il n'a pas fait.</w:t>
      </w:r>
    </w:p>
    <w:p>
      <w:r>
        <w:t>- 12/13 -</w:t>
      </w:r>
    </w:p>
    <w:p>
      <w:r>
        <w:t>C/24720/2015</w:t>
      </w:r>
    </w:p>
    <w:p>
      <w:r>
        <w:t>L'intimée réclame le paiement du matériel listé dans l'annexe du courriel du 26 septembre 2012 (pièce n° 9), qui correspond au matériel facturé le 27 septembre 2012 (pièce n° 11), la seule différence étant que, dans cette dernière figurent cinq accessoires portant la référence 1194 au prix de 90 fr. l'unité au lieu de quatre, et deux accessoires réf. 3009 au prix de 165 l'unité au lieu d'un pour une différence totale de 255 fr.</w:t>
      </w:r>
    </w:p>
    <w:p>
      <w:r>
        <w:t>Au vu de cette différence entre l'offre du 26 septembre et la facture du 27 septembre 2012, c'est à juste titre que le Tribunal a condamné l'appelant à payer le montant le plus bas, soit celui figurant en pièce n° 9 en 81'126 fr. 35 TTC (75'117 fr. HT).</w:t>
      </w:r>
    </w:p>
    <w:p>
      <w:r>
        <w:t>Au vu des motifs qui précèdent, l'appel sera rejeté et le jugement entrepris confirmé.</w:t>
      </w:r>
    </w:p>
    <w:p>
      <w:r>
        <w:rPr>
          <w:b/>
        </w:rPr>
        <w:t>E. 4</w:t>
      </w:r>
    </w:p>
    <w:p>
      <w:r>
        <w:t>Les frais judiciaires d'appel seront arrêtés à 3'300 fr. (art. 17 et 35 RTFMC) et mis à la charge de l'appelant, qui succombe (art. 106 al. 1 CPC). Ils seront compensés avec l'avance fournie par celui-ci, qui demeure acquise à l'Etat de Genève (art. 111 al. 1 CPC).</w:t>
      </w:r>
    </w:p>
    <w:p>
      <w:r>
        <w:t>L'appelant sera également tenu de payer à l'intimée des dépens d'appel de 3'000 fr. (art. 84, 85 al. 1 et 90 RTFMC), débours et TVA compris (art. 25 et 26 LaCC). * * * * *</w:t>
      </w:r>
    </w:p>
    <w:p>
      <w:r>
        <w:t>- 13/13 -</w:t>
      </w:r>
    </w:p>
    <w:p>
      <w:r>
        <w:t>C/24720/2015 PAR CES MOTIFS, La Chambre civile : A la forme : Déclare recevable l'appel interjeté par A______ contre le jugement JTPI/10628/2018 rendu le 29 juin 2018 par le Tribunal de première instance dans la cause C/24720/2015- 3. Au fond : Confirme ce jugement. Déboute les parties de toutes autres conclusions. Sur les frais : Arrête les frais judiciaires d'appel à 3'300 fr., les met à la charge de A______ et les compense avec l'avance fournie, qui demeure acquise à l'Etat de Genève. Condamne A______ à payer 3'000 fr. à B______ AG à titre de dépens d'appel. Siégeant : Monsieur Laurent RIEBEN, président; Monsieur Patrick CHENAUX, Madame Fabienne GEISINGER-MARIETHOZ, juges; Madame Sandra MILLET, greffière. 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