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ACJC/268/2017 vom 25. November 2016</w:t>
      </w:r>
    </w:p>
    <w:p>
      <w:r>
        <w:t>GE Cour de justice, 2016-11-25, FR</w:t>
      </w:r>
    </w:p>
    <w:p>
      <w:r>
        <w:rPr>
          <w:b/>
        </w:rPr>
        <w:t xml:space="preserve">Quelle: </w:t>
      </w:r>
      <w:r>
        <w:t>https://mcp.opencaselaw.ch/entscheid/ge_gerichte_ACJC_268_2017</w:t>
      </w:r>
    </w:p>
    <w:p>
      <w:r>
        <w:t>FR: GE_GERICHTE ACJC/268/2017 du 25 novembre 2016</w:t>
      </w:r>
    </w:p>
    <w:p>
      <w:r>
        <w:t>IT: GE_GERICHTE ACJC/268/2017 del 25 novembre 2016</w:t>
      </w:r>
    </w:p>
    <w:p>
      <w:pPr>
        <w:pStyle w:val="Heading2"/>
      </w:pPr>
      <w:r>
        <w:t>Erwägungen</w:t>
      </w:r>
    </w:p>
    <w:p>
      <w:r>
        <w:rPr>
          <w:b/>
        </w:rPr>
        <w:t>E. 1.1</w:t>
      </w:r>
    </w:p>
    <w:p>
      <w:r>
        <w:t>Dans une affaire de nature pécuniaire, les décisions sur mesures provisionnelles sont susceptibles d'appel si la valeur litigieuse au dernier état des conclusions devant le Tribunal de première instance atteint 10'000 fr. au moins (art. 308 al. 2 CPC).</w:t>
      </w:r>
    </w:p>
    <w:p>
      <w:r>
        <w:t>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consid. 1.1; ACJC/242/2013 du 22 février 2013 consid. 1.1 et ACJC/1110/2012 du 8 août 2012 consid.1).</w:t>
      </w:r>
    </w:p>
    <w:p>
      <w:r>
        <w:t>En l'occurrence, le litige porte sur l'administration d'une preuve à futur et l'appelante indique disposer de prétentions au fond s'élevant à 565'425 fr.</w:t>
      </w:r>
    </w:p>
    <w:p>
      <w:r>
        <w:t>Il s'ensuit que la voie de l'appel est ouverte contre l'ordonnance entreprise.</w:t>
      </w:r>
    </w:p>
    <w:p>
      <w:r>
        <w:rPr>
          <w:b/>
        </w:rPr>
        <w:t>E. 1.2</w:t>
      </w:r>
    </w:p>
    <w:p>
      <w:r>
        <w:t>Interjeté dans les formes et dans le délai prévus par la loi (art. 130, 131, 248 let. d, et 314 al. 1 CPC), par une partie qui y a intérêt (art. 59 al. 2 let. a CPC), l'appel est recevable.</w:t>
      </w:r>
    </w:p>
    <w:p>
      <w:r>
        <w:rPr>
          <w:b/>
        </w:rPr>
        <w:t>E. 1.3</w:t>
      </w:r>
    </w:p>
    <w:p>
      <w:r>
        <w:t>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2</w:t>
      </w:r>
    </w:p>
    <w:p>
      <w:r>
        <w:t>Le Tribunal a rejeté la requête de preuve à futur au motif que l'appelante disposait déjà de témoignages sur la manière dont le formulaire litigieux avait été complétée, ainsi qu'au sujet des informations transmises à la banque avant la signature dudit formulaire. Il semblait en outre douteux qu'une expertise graphologique puisse permettre de déterminer avec certitude quelle personne avait apposé une croix dans une case du formulaire. Il n'était au demeurant pas contesté que certaines rubriques avaient été remplies par la banque, de sorte que la deuxième question à l'attention de l'expert était inutile. Enfin l'appelante n'avait pas rendu vraisemblable qu'une confirmation ou infirmation du fait que la croix</w:t>
      </w:r>
    </w:p>
    <w:p>
      <w:r>
        <w:t>- 5/8 -</w:t>
      </w:r>
    </w:p>
    <w:p>
      <w:r>
        <w:t>C/17327/2016 avait été apposée par un employé de la banque pourrait lui permettre d'évaluer les chances de succès d'une action en responsabilité contre la banque.</w:t>
      </w:r>
    </w:p>
    <w:p>
      <w:r>
        <w:t>L'appelante fait valoir que ni la loi ni la jurisprudence ne posent comme condition à l'administration d'une preuve à futur le fait que la preuve requise soit la seule à disposition. S'il était établi que la banque avait elle-même apposé la croix sur le formulaire, cela impliquerait qu'elle avait prélevé 441'738 GBP du compte de l'appelante sans instructions, ce qui engagerait sa responsabilité. Il était prématuré de retenir que l'expert ne pourrait pas déterminer l'auteur de la croix litigieuse. L'administration de la preuve à futur répondait in casu au but d'économie de procédure et pourrait permettre de favoriser une résolution amiable du litige.</w:t>
      </w:r>
    </w:p>
    <w:p>
      <w:r>
        <w:rPr>
          <w:b/>
        </w:rPr>
        <w:t>E. 2.1</w:t>
      </w:r>
    </w:p>
    <w:p>
      <w:r>
        <w:t>Sous la note marginale "preuve à futur", l'art. 158 al. 1 let. b CPC prévoit que le tribunal administre les preuves en tout temps lorsqu'un intérêt digne de protection est rendu vraisemblable par le requérant. Selon le message du Conseil fédéral, la mention d'un "intérêt digne de protection" parmi les motifs justifiant l'administration d'une preuve à futur vise la possibilité pour le requérant d'évaluer les chances d'obtenir gain de cause ou d'apporter une preuve, comme le prévoyaient certains codes cantonaux. Cette possibilité doit permettre d'éviter des procès dénués de chances de succès (Message du 28 juin 2006, FF 2006 p. 6925). Le degré de vraisemblance exigé ne doit pas être trop élevé, s'agissant d'une requête hors procès et non de l'examen au fond du bien-fondé de la prétention. Hormis à l'égard de la vraisemblance de la prétention principale ou de l'allégation circonstanciée des faits fondant ladite prétention, la démonstration de l'existence d'un intérêt digne de protection n'est pas soumise à des exigences trop sévères. Cet intérêt doit en principe uniquement être nié lorsqu'il fait manifestement défaut, ce qui peut notamment être le cas lorsque le moyen de preuve n'est clairement pas approprié (arrêt du Tribunal fédéral 5A_832/2012 du 25 janvier 2013 consid. 7.1).</w:t>
      </w:r>
    </w:p>
    <w:p>
      <w:r>
        <w:t>De façon générale, c'est par rapport aux conclusions envisagées dans le procès principal que l'on détermine si le moyen de preuve requis à futur concerne un fait pertinent et s'il est propre à prouver ce fait. La preuve à futur selon l'art. 158 al. 1 lit. b CPC n'est admissible qu'en tant que procédure auxiliaire d'une procédure principale envisagée; pour cette raison, le requérant doit mentionner les conclusions qu'il a l'intention de présenter dans le procès principal en raison d'un ensemble de faits allégué de façon concluante et motivée. Dans la procédure de preuve à futur aux fins de déterminer les chances du procès, le requérant ne risque pas de perdre ses droits, au cas où la preuve à futur lui serait refusée. Si la preuve à futur est mise en oeuvre, le requérant disposera d'un moyen de preuve administré judiciairement, qui doit lui permettre de reconnaitre l'inutilité d'une action, respectivement faciliter aux deux parties un règlement transactionnel du</w:t>
      </w:r>
    </w:p>
    <w:p>
      <w:r>
        <w:t>- 6/8 -</w:t>
      </w:r>
    </w:p>
    <w:p>
      <w:r>
        <w:t>C/17327/2016 litige. Dès lors que dans la procédure de preuve à futur selon l'art. 158 al. 1 lit. b CPC, il n'y a pas lieu de statuer sur les droits et obligations des parties résultant du droit matériel, le tribunal n'a pas non plus à déterminer, dans cette procédure, dans quelle mesure l'action envisagée par le requérant apparait dotée de chances de succès. Seul est nécessaire, mais aussi suffisant, que le requérant rende vraisemblable un état de fait dont il peut déduire les prétentions qu'il allèguera dans sa demande. Si le requérant établit un intérêt digne de protection, le tribunal doit se limiter, dans cette procédure, à administrer lege artis la preuve requise. La procédure doit exclusivement permettre à la partie intéressée de se décider sur l'introduction d'une action. Dans cette procédure, le tribunal n'a pas à se prononcer sur les chances de succès de l'action envisagée (ATF 140 III 12 consid. 3.3, 3.3.3 et 3.3.4 = JdT 2016 II 293).</w:t>
      </w:r>
    </w:p>
    <w:p>
      <w:r>
        <w:rPr>
          <w:b/>
        </w:rPr>
        <w:t>E. 2.2</w:t>
      </w:r>
    </w:p>
    <w:p>
      <w:r>
        <w:t>En l'espèce, c'est à juste titre que l'appelante relève que ni la loi ni la jurisprudence ne posent comme condition à l'administration d'une preuve à futur au sens de l'art. 158 al. 1 let. b CPC l'inexistence d'autres moyens aptes à prouver le fait concerné. L'existence d'éventuels témoins pouvant se prononcer sur les circonstances de la signature du formulaire litigieux n'est par conséquent pas déterminante. L'on ne saurait non plus considérer, à ce stade de la procédure, qu'une expertise graphologique est clairement inappropriée pour déterminer qui a apposé la croix litigieuse sur le formulaire. En effet, l'examen de l'exemplaire du formulaire produit par la banque laisse penser que les mentions apposées par l'employé de la banque et par l'administrateur de l'appelante l'ont vraisemblablement été au moyen de deux stylos différents; il est ainsi possible qu'un expert puisse, sur le vu de l'original du formulaire, déterminer avec lequel de ces stylos la croix a été apposée. La question de savoir qui a rempli la rubrique du formulaire indiquant que l'impôt devait être prélevé automatiquement sur les revenus du capital n'est par ailleurs pas à l'évidence dépourvue de pertinence dans le cadre de l'action en responsabilité que l'appelante envisage d'intenter à l'encontre de l'intimée. En effet, même si cet élément ne semble pas à lui seul décisif, la position de l'appelante serait renforcée dans le cadre d'une telle action s'il s'avérait que l'impôt n'avait pas été prélevé sur la base d'une autorisation écrite expresse de l'appelante. Contrairement à ce que soutient l'intimée, la possibilité prévue par l'art. 158 al. 1 let. b CPC n'est pas réservée aux cas où l'issue de la procédure à intenter est si incertaine qu'elle ne peut être clarifiée que grâce à une administration préventive provisionnelle des moyens de preuve. Une telle restriction ne découle ni de la loi, ni du message du Conseil fédéral. La jurisprudence du Tribunal fédéral précise quant à elle expressément que la démonstration de l'existence d'un intérêt digne de protection n'est pas soumise à des exigences trop sévères, un tel intérêt ne devant</w:t>
      </w:r>
    </w:p>
    <w:p>
      <w:r>
        <w:t>- 7/8 -</w:t>
      </w:r>
    </w:p>
    <w:p>
      <w:r>
        <w:t>C/17327/2016 en principe être nié que lorsqu'il fait manifestement défaut, ce qui n'est pas le cas en l'espèce. L'intimée fait valoir que l'appelante ne dispose d'aucune prétention vraisemblable à son égard car l'impôt a été prélevé conformément à la loi, dans la mesure où l'appelante ne lui a pas fait parvenir en temps utile les attestations nécessaires pour prétendre au statut de "UK non domiciled resident". Ces considérations, qui concernent le fond du futur litige, ne sont cependant pas pertinentes puisque, selon la jurisprudence, il n'incombe pas au juge saisi d'une requête de preuve à futur de se prononcer sur les chances de succès de l'action envisagée. En effet, la preuve à futur doit exclusivement permettre à la partie intéressée de se décider sur l'introduction de cette action, ce qui est le cas de l'expertise graphologique requise par l'appelante. Les conditions d'application de l'art. 158 al. 1 let. b CPC sont dès lors réalisées, de sorte que c'est à tort que le Tribunal a rejeté la requête de l'appelante. L'ordonnance querellée sera par conséquent annulée et la cause renvoyée au Tribunal pour nouvelle décision au sens des considérants.</w:t>
      </w:r>
    </w:p>
    <w:p>
      <w:r>
        <w:rPr>
          <w:b/>
        </w:rPr>
        <w:t>E. 3</w:t>
      </w:r>
    </w:p>
    <w:p>
      <w:r>
        <w:t>Les frais d'appel seront mis à charge de l'intimée qui succombe (art. 106 al. 1 CPC).</w:t>
      </w:r>
    </w:p>
    <w:p>
      <w:r>
        <w:t>Les frais judiciaires seront arrêtés à 800 fr. et compensés avec l'avance versée par l'appelante (art. 26 et 37 RTFMC; 111 CPC). Un montant de 3'000 fr., TVA et débours compris, sera alloué à l'appelante à titre de dépens (art. 85, 88 et 90 RTFMC). * * * * *</w:t>
      </w:r>
    </w:p>
    <w:p>
      <w:r>
        <w:t>- 8/8 -</w:t>
      </w:r>
    </w:p>
    <w:p>
      <w:r>
        <w:t>C/17327/2016 PAR CES MOTIFS, La Chambre civile : A la forme : Déclare recevable l'appel interjeté par A______ LIMITED contre l'ordonnance OTPI/616/2016 rendue le 25 novembre 2016 par le Tribunal de première instance dans la cause C/17327/2016-4 SP. Au fond : Annule l'ordonnance querellée. Renvoie la cause au Tribunal pour nouvelle décision au sens des considérants. Sur les frais d'appel : Arrête à 800 fr. les frais judiciaires et les compense avec l'avance versée par A______ LIMITED, qui reste acquise à l'Etat de Genève. Condamne B______ SA à verser 800 fr. à A______ LIMITED au titre des frais judiciaires. Condamne B______ SA à verser à A______ LIMITED 3'000 fr. au titre de dépens d'appel. Siégeant : Madame Fabienne GEISINGER-MARIETHOZ, présidente; Monsieur Laurent RIEBEN et Monsieur Ivo BUETTI, juges; Monsieur David VAZQUEZ, commis-greffier.</w:t>
      </w:r>
    </w:p>
    <w:p>
      <w:r>
        <w:t>La présidente : Fabienne GEISINGER-MARIETHOZ</w:t>
      </w:r>
    </w:p>
    <w:p>
      <w:r>
        <w:t>Le 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