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ACJC/267/2017 vom 14. Oktober 2016</w:t>
      </w:r>
    </w:p>
    <w:p>
      <w:r>
        <w:t>GE Cour de justice, 2016-10-14, FR</w:t>
      </w:r>
    </w:p>
    <w:p>
      <w:r>
        <w:rPr>
          <w:b/>
        </w:rPr>
        <w:t xml:space="preserve">Quelle: </w:t>
      </w:r>
      <w:r>
        <w:t>https://mcp.opencaselaw.ch/entscheid/ge_gerichte_ACJC_267_2017</w:t>
      </w:r>
    </w:p>
    <w:p>
      <w:r>
        <w:t>FR: GE_GERICHTE ACJC/267/2017 du 14 octobre 2016</w:t>
      </w:r>
    </w:p>
    <w:p>
      <w:r>
        <w:t>IT: GE_GERICHTE ACJC/267/2017 del 14 ottobre 2016</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La maxime des débats s'applique et la preuve des faits allégués doit être apportée par titres (art. 55 al. 1, 255 let. a a contrario et 254 CPC).</w:t>
      </w:r>
    </w:p>
    <w:p>
      <w:r>
        <w:rPr>
          <w:b/>
        </w:rPr>
        <w:t>E. 2.1.1</w:t>
      </w:r>
    </w:p>
    <w:p>
      <w:r>
        <w:t>Un acte est réputé notifié en cas d'envoi recommandé, lorsque celui-ci n'a pas été retiré à l'expiration d'un délai de sept jours à compter de l'échec de la remise, si le destinataire devait s'attendre à recevoir la notification (art. 138 al. 3 let. a CPC). La procédure de mainlevée, qui suit l'opposition à un commandement de payer, constitue une nouvelle procédure. Le débiteur ne doit s'attendre sur la base de la seule notification d'un commandement de payer et de l'opposition qu'il a formée à une procédure de mainlevée et à la notification d'acte. La fiction de notification ne s'applique pas au premier acte qui est notifié au débiteur dans la procédure de mainlevée (ATF 138 III 225 consid. 3.1; 130 III 396 consid. 1.2.3).</w:t>
      </w:r>
    </w:p>
    <w:p>
      <w:r>
        <w:t>- 4/6 -</w:t>
      </w:r>
    </w:p>
    <w:p>
      <w:r>
        <w:t>C/12757/2016</w:t>
      </w:r>
    </w:p>
    <w:p>
      <w:r>
        <w:rPr>
          <w:b/>
        </w:rPr>
        <w:t>E. 2.1.2</w:t>
      </w:r>
    </w:p>
    <w:p>
      <w:r>
        <w:t>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 droit d'être entendu, tel qu'il est garanti par l'art. 29 al. 2 Cst., comprend notamment pour le justiciable le droit de s'exprimer sur les éléments pertinents avant qu'une décision ne soit prise touchant sa situation juridique et ainsi le droit d'être cité régulièrement aux débats. Cette garantie a pour but d'assurer à chaque partie le droit de ne pas être condamnée sans avoir été mise en mesure de défendre ses intérêts (ATF 131 I 185 consid. 2.1; 117 Ib 347 consid. 2b/bb et les références).</w:t>
      </w:r>
    </w:p>
    <w:p>
      <w:r>
        <w:rPr>
          <w:b/>
        </w:rPr>
        <w:t>E. 2.2</w:t>
      </w:r>
    </w:p>
    <w:p>
      <w:r>
        <w:t>En l'espèce, l'envoi recommandé contenant la citation à comparaître à l'audience de mainlevée devant le Tribunal n'a pas été retiré par l'intimé. La fiction de notification n'est pas applicable et il doit dès lors être considéré que l'intéressé n'a pas été valablement convoqué. La cause sera dès lors retournée au Tribunal, qui a choisi la procédure orale (art. 253 CPC), pour qu'il cite à nouveau l'intimé à comparaître afin qu'il puisse, le cas échéant, faire valoir des arguments à l'encontre de la requête de mainlevée déposée par la recourante. En effet, cette requête ne saurait être rejetée pour les motifs relevés par le Tribunal, comme cela résulte du considérant 3 ci-après.</w:t>
      </w:r>
    </w:p>
    <w:p>
      <w:r>
        <w:rPr>
          <w:b/>
        </w:rPr>
        <w:t>E. 3.1.1</w:t>
      </w:r>
    </w:p>
    <w:p>
      <w:r>
        <w:t>Selon l'art. 80 LP, le créancier qui est au bénéfice d'un jugement exécutoire peut requérir du juge la mainlevée définitive de l'opposition (al. 1). Sont assimilées à des jugements les décisions des autorités administratives suisses (al. 2 ch. 2). Le juge examine d'office s'il existe un titre de mainlevée (VOCK, KurzKommentar SchKG, 2014, n. 18 ad art. 84 LP). La mainlevée ne peut être accordée que si la décision n'est pas nulle. La nullité de la décision doit être relevée d'office par le juge (STAEHLIN, Basler Kommentar, 2ème éd., 2010, n. 14 ad art. 80 LP). Le jugement qui n'a pas été notifié aux parties est en principe nul (ATF 129 I 361 consid. 2.1) et ne peut pas être exécuté (ATF 141 I 97 consid. 7.1).</w:t>
      </w:r>
    </w:p>
    <w:p>
      <w:r>
        <w:rPr>
          <w:b/>
        </w:rPr>
        <w:t>E. 3.1.2</w:t>
      </w:r>
    </w:p>
    <w:p>
      <w:r>
        <w:t>La jurisprudence n'attache toutefois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w:t>
      </w:r>
    </w:p>
    <w:p>
      <w:r>
        <w:t>- 5/6 -</w:t>
      </w:r>
    </w:p>
    <w:p>
      <w:r>
        <w:t>C/12757/2016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111 V 149 consid. 4c pet les références). La jurisprudence a aussi déduit des règles de la bonne foi l'obligation de se renseigner sur l'existence et le contenu de la décision dès qu'on peut en soupçonner l'existence, sous peine de se voir opposer l'irrecevabilité d'un éventuel moyen pour cause de tardiveté (ATF 139 IV 228 consid. 1.3; 134 V 306 consid. 4.2; 107 Ia 72 consid. 4a; arrêts du Tribunal fédéral 1C_15/2016 du 1er septembre 2016 consid. 2.2; 8C_130/2014 du 22 janvier 2015 consid. 2.3.2 publié in SJ 2015 I 293; 9C_202/2014 du 11 juillet 2014 consid. 4.2 et les références). Cela signifie notamment qu'une décision, fût-elle notifiée de manière irrégulière, peut entrer en force si elle n'est pas déférée au juge dans un délai raisonnable et sera exécutable (ATF 141 I 97 consid. 7.1).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Aussi, la personne à qui l'acte n'a pas été notifié doit s'en prévaloir en temps utile, dès lors que, d'une manière ou d'une autre, elle est au courant de la situation; attendre passivement serait contraire à la règle de la bonne foi qui impose une limite à l'invocation du vice de forme (ATF 122 I 97 consid. 3a/aa; arrêt du Tribunal fédéral 9C_202/2014 du 11 juillet 2014 consid. 4.2).</w:t>
      </w:r>
    </w:p>
    <w:p>
      <w:r>
        <w:rPr>
          <w:b/>
        </w:rPr>
        <w:t>E. 3.2</w:t>
      </w:r>
    </w:p>
    <w:p>
      <w:r>
        <w:t>En l'espèce, l'intimé a eu connaissance de l'existence de la décision du 17 juillet 2015, invoquée dans la poursuite litigieuse au plus tard lors de la notification du commandement de payer. Il n'a toutefois pas allégué à cette occasion, ou ultérieurement, que cette décision ne lui aurait pas été notifiée ou qu'il n'en aurait pas eu connaissance et il ne l'a pas contestée par la suite. La décision du 17 juillet 2015 ne peut donc être considérée comme nulle au motif qu'elle n'aurait pas été notifiée à l'intimé.</w:t>
      </w:r>
    </w:p>
    <w:p>
      <w:r>
        <w:rPr>
          <w:b/>
        </w:rPr>
        <w:t>E. 4</w:t>
      </w:r>
    </w:p>
    <w:p>
      <w:r>
        <w:t>Au vu de l'issue du litige, il ne sera exceptionnellement pas perçu de frais judiciaires pour la présente décision. Les Services financiers du Pouvoir judiciaire seront donc invités à restituer à la recourante le montant de l'avance qu'elle a fournie.</w:t>
      </w:r>
    </w:p>
    <w:p>
      <w:r>
        <w:t>Il ne sera par ailleurs pas alloué de dépens, étant relevé que la recourante comparaît en personne (art. 95 al. 3 let. c CPC a contrario). * * * * *</w:t>
      </w:r>
    </w:p>
    <w:p>
      <w:r>
        <w:t>- 6/6 -</w:t>
      </w:r>
    </w:p>
    <w:p>
      <w:r>
        <w:t>C/12757/2016 PAR CES MOTIFS, La Chambre civile : A la forme : Déclare recevable le recours interjeté par la CAISSE CANTONALE GENEVOISE DE COMPENSATION CCGC-AVS contre le jugement JTPI/12975/2016 rendu le 14 octobre 2016 par le Tribunal de première instance dans la cause C/12757/2016-9 SML. Au fond : Annule ce jugement et, cela fait, renvoie la cause au Tribunal de première instance pour nouvelle décision. Sur les frais : Dit qu'il n'est pas perçu de frais judiciaires pour la procédure de recours. Invite les Services financiers du Pouvoir judiciaire à restituer la somme de 1'500 fr. à la CAISSE DE COMPENSATION CCGC-AVS.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