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ACJC/266/2025 vom 20. Januar 2025</w:t>
      </w:r>
    </w:p>
    <w:p>
      <w:r>
        <w:t>GE Cour de justice, 2025-01-20, FR</w:t>
      </w:r>
    </w:p>
    <w:p>
      <w:r>
        <w:rPr>
          <w:b/>
        </w:rPr>
        <w:t xml:space="preserve">Quelle: </w:t>
      </w:r>
      <w:r>
        <w:t>https://mcp.opencaselaw.ch/entscheid/ge_gerichte_ACJC_266_2025</w:t>
      </w:r>
    </w:p>
    <w:p>
      <w:r>
        <w:t>FR: GE_GERICHTE ACJC/266/2025 du 20 janvier 2025</w:t>
      </w:r>
    </w:p>
    <w:p>
      <w:r>
        <w:t>IT: GE_GERICHTE ACJC/266/2025 del 20 gennaio 2025</w:t>
      </w:r>
    </w:p>
    <w:p>
      <w:pPr>
        <w:pStyle w:val="Heading2"/>
      </w:pPr>
      <w:r>
        <w:t>Volltext</w:t>
      </w:r>
    </w:p>
    <w:p>
      <w:r>
        <w:t>Le présent arrêt est communiqué à la partie recourante par pli recommandé du 21 février 2025.</w:t>
      </w:r>
    </w:p>
    <w:p>
      <w:r>
        <w:t>REPUBLIQUE ET</w:t>
      </w:r>
    </w:p>
    <w:p>
      <w:r>
        <w:t>CANTON DE GENEVE POUVOIR JUDICIAIRE CR/39/2024 ACJC/266/2025 ARRÊT DE LA COUR DE JUSTICE Chambre civile DU VENDREDI 21 FÉVRIER 2025</w:t>
      </w:r>
    </w:p>
    <w:p>
      <w:r>
        <w:t>Pour A______ N.V., sise ______, PAYS-BAS, recourante contre une ordonnance rendue par la 11ème Chambre du Tribunal de première instance de ce canton le 20 janvier 2025, représentée par Me Sébastien BESSON, avocat, Lévy Kaufmann-Kohler, rue du Conseil-Général 3-5, case postale 552, 1211 Genève 4.</w:t>
      </w:r>
    </w:p>
    <w:p>
      <w:r>
        <w:t>- 2/4 -</w:t>
      </w:r>
    </w:p>
    <w:p>
      <w:r>
        <w:t>CR/39/2024 Attendu, EN FAIT, que par ordonnance du 20 janvier 2025, le Tribunal de première instance a ordonné à A______ N.V de produire divers documents décrits dans le document annexé à l'ordonnance et lui a imparti un délai de deux mois dès la notification de ladite ordonnance pour s'exécuter; Que par acte expédié le 31 janvier 2025 à la Cour de justice, A______ N.V a formé recours contre cette ordonnance; qu'elle a conclu, au fond, à sa réforme en ce sens que la demande d'entraide judiciaire internationale formée par le District Court for the Western district of B______ [États-Unis] le 1er juillet 2024 est refusée, subsidiairement au renvoi de la cause au Tribunal; Considérant, EN DROIT, que la Cour est saisie d'un recours (art. 319 CPC); Que selon l'art. 325 CPC, le recours ne suspend pas la force de chose jugée et le caractère exécutoire de la décision attaquée (al. 1); que l'instance de recours peut cependant, sur demande, suspendre le caractère exécutoire si la partie concernée risque de subir un préjudice difficilement réparable (al. 2); Que selon les principes généraux applicables en matière d'effet suspensif, le juge procèdera à une pesée des intérêts en présence et se demandera en particulier si sa décision est de nature à provoquer une situation irréversible (arrêt du Tribunal fédéral 4A_337/2014 du 14 juillet 2014, consid. 3.1);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est vraisemblable qu'à défaut de l'octroi de l'effet suspensif, les informations requises dans le cadre de la commission rogatoire seraient susceptibles d'être transmises à l'autorité requérante avant qu'il soit statué sur le bien-fondé du recours; Que la transmission de ces informations, qualifiées par la recourante de hautement sensibles et confidentielles, ferait perdre son objet au recours soumis à la Cour et l'éventuelle admission de celui-ci ne permettrait, prima facie, pas de réparer les effets de la transmission par hypothèse non fondée desdites informations;</w:t>
      </w:r>
    </w:p>
    <w:p>
      <w:r>
        <w:t>- 3/4 -</w:t>
      </w:r>
    </w:p>
    <w:p>
      <w:r>
        <w:t>CR/39/2024 Que, par ailleurs, prima facie, en l'état, il ne peut être d'emblée retenu que le recours est manifestement mal fondé; Qu'au vu de ce qui précède, il y a lieu de suspendre l'effet exécutoire attaché à l'ordonnance querellée; Qu'il sera statué sur les frais liés à la présente décision avec l'arrêt au fond (art. 104 al. 3 CPC); * * * * *</w:t>
      </w:r>
    </w:p>
    <w:p>
      <w:r>
        <w:t>- 4/4 -</w:t>
      </w:r>
    </w:p>
    <w:p>
      <w:r>
        <w:t>CR/39/2024 PAR CES MOTIFS, La Chambre civile :</w:t>
      </w:r>
    </w:p>
    <w:p>
      <w:r>
        <w:t>Statuant sur requête de suspension du caractère exécutoire de l'ordonnance entreprise : Admet la requête formée par A______ N.V. tendant à la suspension du caractère exécutoire de l'ordonnance rendue le 20 janvier 2025 par le Tribunal de première instance dans la cause CR/39/2024. Dit qu'il sera statué sur les frais liés à la présente décision dans l'arrêt au fond. Siégeant : Monsieur Laurent RIEBEN, président; Madame Sandra CARRIER, greffière.</w:t>
      </w:r>
    </w:p>
    <w:p>
      <w:r>
        <w:t>Le président : Laurent RIEBEN</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