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ACJC/265/2021 vom 15. Dezember 2020</w:t>
      </w:r>
    </w:p>
    <w:p>
      <w:r>
        <w:t>GE Cour de justice, 2020-12-15, FR</w:t>
      </w:r>
    </w:p>
    <w:p>
      <w:r>
        <w:rPr>
          <w:b/>
        </w:rPr>
        <w:t xml:space="preserve">Quelle: </w:t>
      </w:r>
      <w:r>
        <w:t>https://mcp.opencaselaw.ch/entscheid/ge_gerichte_ACJC_265_2021</w:t>
      </w:r>
    </w:p>
    <w:p>
      <w:r>
        <w:t>FR: GE_GERICHTE ACJC/265/2021 du 15 décembre 2020</w:t>
      </w:r>
    </w:p>
    <w:p>
      <w:r>
        <w:t>IT: GE_GERICHTE ACJC/265/2021 del 15 dicembre 2020</w:t>
      </w:r>
    </w:p>
    <w:p>
      <w:pPr>
        <w:pStyle w:val="Heading2"/>
      </w:pPr>
      <w:r>
        <w:t>Erwägungen</w:t>
      </w:r>
    </w:p>
    <w:p>
      <w:r>
        <w:rPr>
          <w:b/>
        </w:rPr>
        <w:t>E. 1.1</w:t>
      </w:r>
    </w:p>
    <w:p>
      <w:r>
        <w:t>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1.4</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w:t>
      </w:r>
    </w:p>
    <w:p>
      <w:r>
        <w:t>- 5/8 -</w:t>
      </w:r>
    </w:p>
    <w:p>
      <w:r>
        <w:t>C/14959/2020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w:t>
      </w:r>
    </w:p>
    <w:p>
      <w:r>
        <w:rPr>
          <w:b/>
        </w:rPr>
        <w:t>E. 1.5</w:t>
      </w:r>
    </w:p>
    <w:p>
      <w:r>
        <w:t>Les conclusions, allégations de fait et preuves nouvelles sont irrecevables dans le cadre d'un recours (art. 326 al. 1 CPC). Partant, la pièce nouvelle versée par l'intimée est irrecevable. Elle n'est en tout état pas déterminante pour l'issue du litige.</w:t>
      </w:r>
    </w:p>
    <w:p>
      <w:r>
        <w:rPr>
          <w:b/>
        </w:rPr>
        <w:t>E. 2</w:t>
      </w:r>
    </w:p>
    <w:p>
      <w:r>
        <w:t>La recourante reproche au Tribunal d'avoir prononcé la mainlevée provisoire de l'opposition et d'avoir considéré que les titres produits valaient reconnaissance de dette.</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w:t>
      </w:r>
    </w:p>
    <w:p>
      <w:r>
        <w:t>- 6/8 -</w:t>
      </w:r>
    </w:p>
    <w:p>
      <w:r>
        <w:t>C/14959/2020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 Des factures ne valent pas reconnaissance de dette et ce, même si elles ne sont pas contestées (arrêt du Tribunal fédéral 5P.290/2006 du 12 octobre 2006 consid. 3.2).</w:t>
      </w:r>
    </w:p>
    <w:p>
      <w:r>
        <w:rPr>
          <w:b/>
        </w:rPr>
        <w:t>E. 2.2</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(ACJC/189/2021 du 11 février 2021 consid. 3.2; ACJC/1858/2020 du 22 décembre 2020 consid. 2.3; arrêt du Tribunal fédéral du 10 mai 1968, résumé in JdT 1969 II 32). Il ne lui appartient pas davantage de trancher des questions délicates de droit matériel ou pour la solution desquelles le pouvoir d'appréciation joue un rôle important, dont la connaissance ressort exclusivement au juge du fond (arrêt du Tribunal fédéral 5D_43/2019 du 24 mai 2019 consid. 5.2.1; ATF 124 III 501 consid. 3a).</w:t>
      </w:r>
    </w:p>
    <w:p>
      <w:r>
        <w:rPr>
          <w:b/>
        </w:rPr>
        <w:t>E. 2.3</w:t>
      </w:r>
    </w:p>
    <w:p>
      <w:r>
        <w:t>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w:t>
      </w:r>
    </w:p>
    <w:p>
      <w:r>
        <w:rPr>
          <w:b/>
        </w:rPr>
        <w:t>E. 2.4</w:t>
      </w:r>
    </w:p>
    <w:p>
      <w:r>
        <w:t>En l'espèce, le contrat du 20 février 2018, signé par les deux parties et établi pour une durée ferme de 48 mois, associé au procès-verbal de livraison de</w:t>
      </w:r>
    </w:p>
    <w:p>
      <w:r>
        <w:t>- 7/8 -</w:t>
      </w:r>
    </w:p>
    <w:p>
      <w:r>
        <w:t>C/14959/2020 matériel du 22 février 2018, signé par la recourante, vaut, comme l'a retenu à bon droit le Tribunal, reconnaissance de dette (pour le poste 1 du commandement de payer). L'intimée a requis en poursuite les mensualités correspondant à la totalité de la période convenue contractuellement, soit 48 mois, représentant 5'324 fr. 64 (48 x 110 fr. 93). Comme le juge de la mainlevée doit se contenter d'examiner la force probante des titres qui lui sont soumis, il n'a pas à interpréter les déclarations contradictoires des parties. Dès lors, il appartiendra à la recourante, si elle s'y estime fondée, de saisir le juge du fond pour que celui-ci mène d'éventuelles mesures d'instruction et examine les arguments que la recourante soulève à propos de l'erreur et des règles relatives à la conclusion des contrats, cas échéant à propos de la résiliation anticipée du contrat. Pour le surplus, la recourante n'a ni allégué ni rendu vraisemblable avoir réglé tout ou partie de la dette objet de la poursuite. Compte tenu de ce qui précède, c'est à bon droit que le Tribunal a prononcé la mainlevée provisoire de l'opposition concernant le poste 1 du commandement de payer.</w:t>
      </w:r>
    </w:p>
    <w:p>
      <w:r>
        <w:rPr>
          <w:b/>
        </w:rPr>
        <w:t>E. 2.5</w:t>
      </w:r>
    </w:p>
    <w:p>
      <w:r>
        <w:t>Partant, le recours sera rejeté.</w:t>
      </w:r>
    </w:p>
    <w:p>
      <w:r>
        <w:rPr>
          <w:b/>
        </w:rPr>
        <w:t>E. 3</w:t>
      </w:r>
    </w:p>
    <w:p>
      <w:r>
        <w:t>La recourante, qui succombe (art. 106 al. 1 CPC), supportera les frais du recours arrêtés à 450 fr. (art. 48 et 61 OELP), couverts par l'avance déjà opérée par elle, qui reste acquise à l'Etat de Genève (art. 111 al. 1 CPC). Il ne sera pas alloué de dépens à l'intimée, qui n'en a pas requis, les démarches effectuées ne le justifiant au demeurant pas. * * * * *</w:t>
      </w:r>
    </w:p>
    <w:p>
      <w:r>
        <w:t>- 8/8 -</w:t>
      </w:r>
    </w:p>
    <w:p>
      <w:r>
        <w:t>C/14959/2020 PAR CES MOTIFS, La Chambre civile : A la forme : Déclare recevable le recours interjeté le 21 décembre 2020 par A______ contre le jugement JTPI/15693/2020 rendu le 15 décembre 2020 par le Tribunal de première instance dans la cause C/14959/2020-18 SML. Au fond : Le rejette. Déboute les parties de toutes autres conclusions. Sur les frais : Arrête les frais judiciaires du recours à 450 fr., compensés par l'avance de frais versée, acquise à l'Etat de Genève, et les met à la charge de A______.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